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5"/>
        <w:tblW w:w="1041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418"/>
      </w:tblGrid>
      <w:tr w:rsidR="00325809" w:rsidRPr="00DB7372" w14:paraId="73000980" w14:textId="77777777" w:rsidTr="00CA5ABF">
        <w:trPr>
          <w:trHeight w:val="13452"/>
        </w:trPr>
        <w:tc>
          <w:tcPr>
            <w:tcW w:w="10418" w:type="dxa"/>
          </w:tcPr>
          <w:p w14:paraId="47835E5C" w14:textId="77777777" w:rsidR="00325809" w:rsidRPr="00DB7372" w:rsidRDefault="00325809" w:rsidP="000F79D3">
            <w:pPr>
              <w:widowControl/>
              <w:autoSpaceDE w:val="0"/>
              <w:autoSpaceDN w:val="0"/>
              <w:jc w:val="center"/>
              <w:textAlignment w:val="bottom"/>
              <w:rPr>
                <w:rFonts w:ascii="Times New Roman" w:eastAsia="標楷體" w:hAnsi="Times New Roman" w:cs="Times New Roman"/>
                <w:b/>
                <w:sz w:val="36"/>
                <w:szCs w:val="36"/>
              </w:rPr>
            </w:pPr>
            <w:r w:rsidRPr="00DB7372">
              <w:rPr>
                <w:rFonts w:ascii="Times New Roman" w:eastAsia="標楷體" w:hAnsi="Times New Roman" w:cs="Times New Roman"/>
                <w:b/>
                <w:noProof/>
                <w:sz w:val="22"/>
                <w:lang w:eastAsia="zh-CN"/>
              </w:rPr>
              <w:drawing>
                <wp:anchor distT="0" distB="0" distL="114300" distR="114300" simplePos="0" relativeHeight="251659264" behindDoc="1" locked="0" layoutInCell="1" allowOverlap="1" wp14:anchorId="42CC0F6B" wp14:editId="29786406">
                  <wp:simplePos x="0" y="0"/>
                  <wp:positionH relativeFrom="column">
                    <wp:posOffset>-22225</wp:posOffset>
                  </wp:positionH>
                  <wp:positionV relativeFrom="paragraph">
                    <wp:posOffset>-10795</wp:posOffset>
                  </wp:positionV>
                  <wp:extent cx="1216025" cy="358140"/>
                  <wp:effectExtent l="0" t="0" r="0" b="3810"/>
                  <wp:wrapNone/>
                  <wp:docPr id="1" name="圖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372">
              <w:rPr>
                <w:rFonts w:ascii="Times New Roman" w:eastAsia="標楷體" w:hAnsi="Times New Roman" w:cs="Times New Roman"/>
                <w:b/>
                <w:sz w:val="32"/>
                <w:szCs w:val="36"/>
              </w:rPr>
              <w:t>財團法人商業發展研究院</w:t>
            </w:r>
          </w:p>
          <w:p w14:paraId="15C7DD58" w14:textId="77777777" w:rsidR="00325809" w:rsidRPr="00DB7372" w:rsidRDefault="00325809" w:rsidP="000F79D3">
            <w:pPr>
              <w:widowControl/>
              <w:autoSpaceDE w:val="0"/>
              <w:autoSpaceDN w:val="0"/>
              <w:jc w:val="center"/>
              <w:textAlignment w:val="bottom"/>
              <w:rPr>
                <w:rFonts w:ascii="Times New Roman" w:eastAsia="標楷體" w:hAnsi="Times New Roman" w:cs="Times New Roman"/>
                <w:b/>
                <w:sz w:val="36"/>
                <w:szCs w:val="36"/>
              </w:rPr>
            </w:pPr>
            <w:r w:rsidRPr="00DB7372">
              <w:rPr>
                <w:rFonts w:ascii="Times New Roman" w:eastAsia="標楷體" w:hAnsi="Times New Roman" w:cs="Times New Roman"/>
                <w:b/>
                <w:sz w:val="32"/>
                <w:szCs w:val="36"/>
              </w:rPr>
              <w:t>新聞稿</w:t>
            </w:r>
          </w:p>
          <w:p w14:paraId="2F833E5B" w14:textId="4A01A63D" w:rsidR="00325809" w:rsidRPr="00DB7372" w:rsidRDefault="00325809" w:rsidP="000F79D3">
            <w:pPr>
              <w:jc w:val="right"/>
              <w:rPr>
                <w:rFonts w:ascii="Times New Roman" w:eastAsia="標楷體" w:hAnsi="Times New Roman" w:cs="Times New Roman"/>
                <w:b/>
                <w:sz w:val="28"/>
                <w:szCs w:val="28"/>
              </w:rPr>
            </w:pPr>
            <w:r w:rsidRPr="00DB7372">
              <w:rPr>
                <w:rFonts w:ascii="Times New Roman" w:eastAsia="標楷體" w:hAnsi="Times New Roman" w:cs="Times New Roman"/>
                <w:sz w:val="56"/>
              </w:rPr>
              <w:t xml:space="preserve">                  </w:t>
            </w:r>
            <w:r w:rsidRPr="00DB7372">
              <w:rPr>
                <w:rFonts w:ascii="Times New Roman" w:eastAsia="標楷體" w:hAnsi="Times New Roman" w:cs="Times New Roman"/>
                <w:b/>
                <w:sz w:val="28"/>
                <w:szCs w:val="28"/>
              </w:rPr>
              <w:t>發布日期：</w:t>
            </w:r>
            <w:r w:rsidR="00834B32" w:rsidRPr="00DB7372">
              <w:rPr>
                <w:rFonts w:ascii="Times New Roman" w:eastAsia="標楷體" w:hAnsi="Times New Roman" w:cs="Times New Roman"/>
                <w:b/>
                <w:sz w:val="28"/>
                <w:szCs w:val="28"/>
              </w:rPr>
              <w:t>10</w:t>
            </w:r>
            <w:r w:rsidR="00E13AAC" w:rsidRPr="00DB7372">
              <w:rPr>
                <w:rFonts w:ascii="Times New Roman" w:eastAsia="標楷體" w:hAnsi="Times New Roman" w:cs="Times New Roman"/>
                <w:b/>
                <w:sz w:val="28"/>
                <w:szCs w:val="28"/>
              </w:rPr>
              <w:t>7</w:t>
            </w:r>
            <w:r w:rsidRPr="00DB7372">
              <w:rPr>
                <w:rFonts w:ascii="Times New Roman" w:eastAsia="標楷體" w:hAnsi="Times New Roman" w:cs="Times New Roman"/>
                <w:b/>
                <w:sz w:val="28"/>
                <w:szCs w:val="28"/>
              </w:rPr>
              <w:t>年</w:t>
            </w:r>
            <w:r w:rsidRPr="00DB7372">
              <w:rPr>
                <w:rFonts w:ascii="Times New Roman" w:eastAsia="標楷體" w:hAnsi="Times New Roman" w:cs="Times New Roman"/>
                <w:b/>
                <w:sz w:val="28"/>
                <w:szCs w:val="28"/>
              </w:rPr>
              <w:t>0</w:t>
            </w:r>
            <w:r w:rsidR="003724CE" w:rsidRPr="00DB7372">
              <w:rPr>
                <w:rFonts w:ascii="Times New Roman" w:eastAsia="標楷體" w:hAnsi="Times New Roman" w:cs="Times New Roman"/>
                <w:b/>
                <w:sz w:val="28"/>
                <w:szCs w:val="28"/>
                <w:lang w:eastAsia="zh-CN"/>
              </w:rPr>
              <w:t>7</w:t>
            </w:r>
            <w:r w:rsidRPr="00DB7372">
              <w:rPr>
                <w:rFonts w:ascii="Times New Roman" w:eastAsia="標楷體" w:hAnsi="Times New Roman" w:cs="Times New Roman"/>
                <w:b/>
                <w:sz w:val="28"/>
                <w:szCs w:val="28"/>
              </w:rPr>
              <w:t>月</w:t>
            </w:r>
            <w:r w:rsidR="00745CB5" w:rsidRPr="00DB7372">
              <w:rPr>
                <w:rFonts w:ascii="Times New Roman" w:eastAsia="標楷體" w:hAnsi="Times New Roman" w:cs="Times New Roman"/>
                <w:b/>
                <w:sz w:val="28"/>
                <w:szCs w:val="28"/>
              </w:rPr>
              <w:t>0</w:t>
            </w:r>
            <w:r w:rsidR="00762445" w:rsidRPr="00DB7372">
              <w:rPr>
                <w:rFonts w:ascii="Times New Roman" w:eastAsia="標楷體" w:hAnsi="Times New Roman" w:cs="Times New Roman"/>
                <w:b/>
                <w:sz w:val="28"/>
                <w:szCs w:val="28"/>
              </w:rPr>
              <w:t>4</w:t>
            </w:r>
            <w:r w:rsidRPr="00DB7372">
              <w:rPr>
                <w:rFonts w:ascii="Times New Roman" w:eastAsia="標楷體" w:hAnsi="Times New Roman" w:cs="Times New Roman"/>
                <w:b/>
                <w:sz w:val="28"/>
                <w:szCs w:val="28"/>
              </w:rPr>
              <w:t>日</w:t>
            </w:r>
          </w:p>
          <w:p w14:paraId="58FBE42D" w14:textId="77777777" w:rsidR="00004C13" w:rsidRPr="00DB7372" w:rsidRDefault="00004C13" w:rsidP="00004C13">
            <w:pPr>
              <w:jc w:val="center"/>
              <w:rPr>
                <w:rFonts w:ascii="Times New Roman" w:eastAsia="標楷體" w:hAnsi="Times New Roman" w:cs="Times New Roman"/>
                <w:b/>
                <w:sz w:val="28"/>
                <w:szCs w:val="28"/>
              </w:rPr>
            </w:pPr>
          </w:p>
          <w:p w14:paraId="526D7840" w14:textId="2A91BE93" w:rsidR="005F1599" w:rsidRPr="00DB7372" w:rsidRDefault="0027790E" w:rsidP="00004C13">
            <w:pPr>
              <w:adjustRightInd w:val="0"/>
              <w:snapToGrid w:val="0"/>
              <w:spacing w:beforeLines="50" w:before="180" w:afterLines="50" w:after="180"/>
              <w:jc w:val="center"/>
              <w:rPr>
                <w:rFonts w:ascii="Times New Roman" w:eastAsia="標楷體" w:hAnsi="Times New Roman" w:cs="Times New Roman"/>
                <w:b/>
                <w:sz w:val="48"/>
                <w:szCs w:val="48"/>
              </w:rPr>
            </w:pPr>
            <w:r w:rsidRPr="00DB7372">
              <w:rPr>
                <w:rFonts w:ascii="Times New Roman" w:eastAsia="標楷體" w:hAnsi="Times New Roman" w:cs="Times New Roman"/>
                <w:b/>
                <w:sz w:val="48"/>
                <w:szCs w:val="48"/>
              </w:rPr>
              <w:t>台灣商業服務業景氣預測</w:t>
            </w:r>
            <w:r w:rsidR="005F1599" w:rsidRPr="00DB7372">
              <w:rPr>
                <w:rFonts w:ascii="Times New Roman" w:eastAsia="標楷體" w:hAnsi="Times New Roman" w:cs="Times New Roman"/>
                <w:b/>
                <w:sz w:val="48"/>
                <w:szCs w:val="48"/>
                <w:lang w:eastAsia="zh-CN"/>
              </w:rPr>
              <w:t>1</w:t>
            </w:r>
            <w:r w:rsidR="002326EE" w:rsidRPr="00DB7372">
              <w:rPr>
                <w:rFonts w:ascii="Times New Roman" w:eastAsia="標楷體" w:hAnsi="Times New Roman" w:cs="Times New Roman"/>
                <w:b/>
                <w:sz w:val="48"/>
                <w:szCs w:val="48"/>
                <w:lang w:eastAsia="zh-CN"/>
              </w:rPr>
              <w:t>1</w:t>
            </w:r>
            <w:r w:rsidR="005F1599" w:rsidRPr="00DB7372">
              <w:rPr>
                <w:rFonts w:ascii="Times New Roman" w:eastAsia="標楷體" w:hAnsi="Times New Roman" w:cs="Times New Roman"/>
                <w:b/>
                <w:sz w:val="48"/>
                <w:szCs w:val="48"/>
              </w:rPr>
              <w:t>月</w:t>
            </w:r>
            <w:r w:rsidR="002326EE" w:rsidRPr="00DB7372">
              <w:rPr>
                <w:rFonts w:ascii="Times New Roman" w:eastAsia="標楷體" w:hAnsi="Times New Roman" w:cs="Times New Roman"/>
                <w:b/>
                <w:sz w:val="48"/>
                <w:szCs w:val="48"/>
              </w:rPr>
              <w:t>續</w:t>
            </w:r>
            <w:r w:rsidR="005F1599" w:rsidRPr="00DB7372">
              <w:rPr>
                <w:rFonts w:ascii="Times New Roman" w:eastAsia="標楷體" w:hAnsi="Times New Roman" w:cs="Times New Roman"/>
                <w:b/>
                <w:sz w:val="48"/>
                <w:szCs w:val="48"/>
              </w:rPr>
              <w:t>降</w:t>
            </w:r>
          </w:p>
          <w:p w14:paraId="4CAB0A4A" w14:textId="3C4B2298" w:rsidR="00945056" w:rsidRPr="00DB7372" w:rsidRDefault="005F1599" w:rsidP="00004C13">
            <w:pPr>
              <w:adjustRightInd w:val="0"/>
              <w:snapToGrid w:val="0"/>
              <w:spacing w:beforeLines="50" w:before="180" w:afterLines="50" w:after="180"/>
              <w:jc w:val="center"/>
              <w:rPr>
                <w:rFonts w:ascii="Times New Roman" w:eastAsia="標楷體" w:hAnsi="Times New Roman" w:cs="Times New Roman"/>
                <w:color w:val="FF0000"/>
                <w:kern w:val="0"/>
                <w:sz w:val="28"/>
                <w:szCs w:val="28"/>
              </w:rPr>
            </w:pPr>
            <w:r w:rsidRPr="00DB7372">
              <w:rPr>
                <w:rFonts w:ascii="Times New Roman" w:eastAsia="標楷體" w:hAnsi="Times New Roman" w:cs="Times New Roman"/>
                <w:b/>
                <w:sz w:val="48"/>
                <w:szCs w:val="48"/>
              </w:rPr>
              <w:t>年底衰退警訊</w:t>
            </w:r>
            <w:r w:rsidR="00EB11F9" w:rsidRPr="00DB7372">
              <w:rPr>
                <w:rFonts w:ascii="Times New Roman" w:eastAsia="標楷體" w:hAnsi="Times New Roman" w:cs="Times New Roman"/>
                <w:b/>
                <w:sz w:val="48"/>
                <w:szCs w:val="48"/>
              </w:rPr>
              <w:t>未除</w:t>
            </w:r>
          </w:p>
          <w:p w14:paraId="58B686F5" w14:textId="77777777" w:rsidR="009B737F" w:rsidRPr="00DB7372" w:rsidRDefault="009B737F" w:rsidP="00FB785D">
            <w:pPr>
              <w:adjustRightInd w:val="0"/>
              <w:ind w:firstLineChars="200" w:firstLine="560"/>
              <w:rPr>
                <w:rFonts w:ascii="Times New Roman" w:eastAsia="標楷體" w:hAnsi="Times New Roman" w:cs="Times New Roman"/>
                <w:color w:val="FF0000"/>
                <w:kern w:val="0"/>
                <w:sz w:val="28"/>
                <w:szCs w:val="28"/>
              </w:rPr>
            </w:pPr>
          </w:p>
          <w:p w14:paraId="6D64492E" w14:textId="50955F5D" w:rsidR="00FB785D" w:rsidRPr="00DB7372" w:rsidRDefault="00505C1C" w:rsidP="00FB785D">
            <w:pPr>
              <w:adjustRightInd w:val="0"/>
              <w:ind w:firstLineChars="200" w:firstLine="560"/>
              <w:rPr>
                <w:rFonts w:ascii="Times New Roman" w:eastAsia="標楷體" w:hAnsi="Times New Roman" w:cs="Times New Roman"/>
                <w:b/>
                <w:color w:val="FF0000"/>
                <w:sz w:val="28"/>
                <w:szCs w:val="28"/>
                <w:u w:val="single"/>
              </w:rPr>
            </w:pPr>
            <w:r w:rsidRPr="00DB7372">
              <w:rPr>
                <w:rFonts w:ascii="Times New Roman" w:eastAsia="標楷體" w:hAnsi="Times New Roman" w:cs="Times New Roman"/>
                <w:kern w:val="0"/>
                <w:sz w:val="28"/>
                <w:szCs w:val="28"/>
              </w:rPr>
              <w:t>財團法人商業發展研究院</w:t>
            </w:r>
            <w:r w:rsidRPr="00DB7372">
              <w:rPr>
                <w:rFonts w:ascii="Times New Roman" w:eastAsia="標楷體" w:hAnsi="Times New Roman" w:cs="Times New Roman"/>
                <w:kern w:val="0"/>
                <w:sz w:val="28"/>
                <w:szCs w:val="28"/>
              </w:rPr>
              <w:t>Commerce Development Research Institute</w:t>
            </w:r>
            <w:r w:rsidR="000F7D42" w:rsidRPr="00DB7372">
              <w:rPr>
                <w:rFonts w:ascii="Times New Roman" w:eastAsia="標楷體" w:hAnsi="Times New Roman" w:cs="Times New Roman"/>
                <w:kern w:val="0"/>
                <w:sz w:val="28"/>
                <w:szCs w:val="28"/>
              </w:rPr>
              <w:t>（</w:t>
            </w:r>
            <w:r w:rsidRPr="00DB7372">
              <w:rPr>
                <w:rFonts w:ascii="Times New Roman" w:eastAsia="標楷體" w:hAnsi="Times New Roman" w:cs="Times New Roman"/>
                <w:kern w:val="0"/>
                <w:sz w:val="28"/>
                <w:szCs w:val="28"/>
              </w:rPr>
              <w:t>簡稱「商研院</w:t>
            </w:r>
            <w:r w:rsidRPr="00DB7372">
              <w:rPr>
                <w:rFonts w:ascii="Times New Roman" w:eastAsia="標楷體" w:hAnsi="Times New Roman" w:cs="Times New Roman"/>
                <w:kern w:val="0"/>
                <w:sz w:val="28"/>
                <w:szCs w:val="28"/>
              </w:rPr>
              <w:t>CDRI</w:t>
            </w:r>
            <w:r w:rsidRPr="00DB7372">
              <w:rPr>
                <w:rFonts w:ascii="Times New Roman" w:eastAsia="標楷體" w:hAnsi="Times New Roman" w:cs="Times New Roman"/>
                <w:kern w:val="0"/>
                <w:sz w:val="28"/>
                <w:szCs w:val="28"/>
              </w:rPr>
              <w:t>」</w:t>
            </w:r>
            <w:r w:rsidR="000F7D42" w:rsidRPr="00DB7372">
              <w:rPr>
                <w:rFonts w:ascii="Times New Roman" w:eastAsia="標楷體" w:hAnsi="Times New Roman" w:cs="Times New Roman"/>
                <w:kern w:val="0"/>
                <w:sz w:val="28"/>
                <w:szCs w:val="28"/>
              </w:rPr>
              <w:t>）</w:t>
            </w:r>
            <w:r w:rsidR="00F322DB" w:rsidRPr="00DB7372">
              <w:rPr>
                <w:rFonts w:ascii="Times New Roman" w:eastAsia="標楷體" w:hAnsi="Times New Roman" w:cs="Times New Roman"/>
                <w:b/>
                <w:color w:val="FF0000"/>
                <w:sz w:val="28"/>
                <w:szCs w:val="28"/>
                <w:u w:val="single"/>
              </w:rPr>
              <w:t>「台灣商業服務業景氣循環綜合指標」預測台灣商業服務業景氣在</w:t>
            </w:r>
            <w:r w:rsidR="00ED6417" w:rsidRPr="00DB7372">
              <w:rPr>
                <w:rFonts w:ascii="Times New Roman" w:eastAsia="標楷體" w:hAnsi="Times New Roman" w:cs="Times New Roman"/>
                <w:b/>
                <w:color w:val="FF0000"/>
                <w:sz w:val="28"/>
                <w:szCs w:val="28"/>
                <w:u w:val="single"/>
                <w:lang w:eastAsia="zh-CN"/>
              </w:rPr>
              <w:t>11</w:t>
            </w:r>
            <w:r w:rsidR="00F322DB" w:rsidRPr="00DB7372">
              <w:rPr>
                <w:rFonts w:ascii="Times New Roman" w:eastAsia="標楷體" w:hAnsi="Times New Roman" w:cs="Times New Roman"/>
                <w:b/>
                <w:color w:val="FF0000"/>
                <w:sz w:val="28"/>
                <w:szCs w:val="28"/>
                <w:u w:val="single"/>
              </w:rPr>
              <w:t>月</w:t>
            </w:r>
            <w:r w:rsidR="00ED6417" w:rsidRPr="00DB7372">
              <w:rPr>
                <w:rFonts w:ascii="Times New Roman" w:eastAsia="標楷體" w:hAnsi="Times New Roman" w:cs="Times New Roman"/>
                <w:b/>
                <w:color w:val="FF0000"/>
                <w:sz w:val="28"/>
                <w:szCs w:val="28"/>
                <w:u w:val="single"/>
              </w:rPr>
              <w:t>將繼</w:t>
            </w:r>
            <w:r w:rsidR="00BD193E" w:rsidRPr="00DB7372">
              <w:rPr>
                <w:rFonts w:ascii="Times New Roman" w:eastAsia="標楷體" w:hAnsi="Times New Roman" w:cs="Times New Roman"/>
                <w:b/>
                <w:color w:val="FF0000"/>
                <w:sz w:val="28"/>
                <w:szCs w:val="28"/>
                <w:u w:val="single"/>
                <w:lang w:eastAsia="zh-CN"/>
              </w:rPr>
              <w:t>10</w:t>
            </w:r>
            <w:r w:rsidR="00BD193E" w:rsidRPr="00DB7372">
              <w:rPr>
                <w:rFonts w:ascii="Times New Roman" w:eastAsia="標楷體" w:hAnsi="Times New Roman" w:cs="Times New Roman"/>
                <w:b/>
                <w:color w:val="FF0000"/>
                <w:sz w:val="28"/>
                <w:szCs w:val="28"/>
                <w:u w:val="single"/>
              </w:rPr>
              <w:t>月續見下</w:t>
            </w:r>
            <w:r w:rsidR="002E01A4" w:rsidRPr="00DB7372">
              <w:rPr>
                <w:rFonts w:ascii="Times New Roman" w:eastAsia="標楷體" w:hAnsi="Times New Roman" w:cs="Times New Roman"/>
                <w:b/>
                <w:color w:val="FF0000"/>
                <w:sz w:val="28"/>
                <w:szCs w:val="28"/>
                <w:u w:val="single"/>
              </w:rPr>
              <w:t>降</w:t>
            </w:r>
            <w:r w:rsidR="00F322DB" w:rsidRPr="00DB7372">
              <w:rPr>
                <w:rFonts w:ascii="Times New Roman" w:eastAsia="標楷體" w:hAnsi="Times New Roman" w:cs="Times New Roman"/>
                <w:b/>
                <w:color w:val="FF0000"/>
                <w:sz w:val="28"/>
                <w:szCs w:val="28"/>
                <w:u w:val="single"/>
              </w:rPr>
              <w:t>，</w:t>
            </w:r>
            <w:r w:rsidR="00FE03C0" w:rsidRPr="00DB7372">
              <w:rPr>
                <w:rFonts w:ascii="Times New Roman" w:eastAsia="標楷體" w:hAnsi="Times New Roman" w:cs="Times New Roman"/>
                <w:b/>
                <w:color w:val="FF0000"/>
                <w:sz w:val="28"/>
                <w:szCs w:val="28"/>
                <w:u w:val="single"/>
              </w:rPr>
              <w:t>年底衰退警訊</w:t>
            </w:r>
            <w:r w:rsidR="002E01A4" w:rsidRPr="00DB7372">
              <w:rPr>
                <w:rFonts w:ascii="Times New Roman" w:eastAsia="標楷體" w:hAnsi="Times New Roman" w:cs="Times New Roman"/>
                <w:b/>
                <w:color w:val="FF0000"/>
                <w:sz w:val="28"/>
                <w:szCs w:val="28"/>
                <w:u w:val="single"/>
              </w:rPr>
              <w:t>未見解除</w:t>
            </w:r>
            <w:r w:rsidR="00C45E5E" w:rsidRPr="00DB7372">
              <w:rPr>
                <w:rFonts w:ascii="Times New Roman" w:eastAsia="標楷體" w:hAnsi="Times New Roman" w:cs="Times New Roman"/>
                <w:b/>
                <w:color w:val="FF0000"/>
                <w:sz w:val="28"/>
                <w:szCs w:val="28"/>
                <w:u w:val="single"/>
              </w:rPr>
              <w:t>。</w:t>
            </w:r>
            <w:r w:rsidR="00C40B9A" w:rsidRPr="00DB7372">
              <w:rPr>
                <w:rFonts w:ascii="Times New Roman" w:eastAsia="標楷體" w:hAnsi="Times New Roman" w:cs="Times New Roman"/>
                <w:b/>
                <w:color w:val="FF0000"/>
                <w:sz w:val="28"/>
                <w:szCs w:val="28"/>
                <w:u w:val="single"/>
              </w:rPr>
              <w:t>尤其</w:t>
            </w:r>
            <w:r w:rsidR="003E4E35" w:rsidRPr="00DB7372">
              <w:rPr>
                <w:rFonts w:ascii="Times New Roman" w:eastAsia="標楷體" w:hAnsi="Times New Roman" w:cs="Times New Roman"/>
                <w:b/>
                <w:color w:val="FF0000"/>
                <w:sz w:val="28"/>
                <w:szCs w:val="28"/>
                <w:u w:val="single"/>
              </w:rPr>
              <w:t>領先</w:t>
            </w:r>
            <w:r w:rsidR="006352F4" w:rsidRPr="00DB7372">
              <w:rPr>
                <w:rFonts w:ascii="Times New Roman" w:eastAsia="標楷體" w:hAnsi="Times New Roman" w:cs="Times New Roman"/>
                <w:b/>
                <w:color w:val="FF0000"/>
                <w:sz w:val="28"/>
                <w:szCs w:val="28"/>
                <w:u w:val="single"/>
              </w:rPr>
              <w:t>指標綜合循環指數</w:t>
            </w:r>
            <w:r w:rsidR="00ED4928" w:rsidRPr="00DB7372">
              <w:rPr>
                <w:rFonts w:ascii="Times New Roman" w:eastAsia="標楷體" w:hAnsi="Times New Roman" w:cs="Times New Roman"/>
                <w:b/>
                <w:color w:val="FF0000"/>
                <w:sz w:val="28"/>
                <w:szCs w:val="28"/>
                <w:u w:val="single"/>
              </w:rPr>
              <w:t>在</w:t>
            </w:r>
            <w:r w:rsidR="00914A4A" w:rsidRPr="00DB7372">
              <w:rPr>
                <w:rFonts w:ascii="Times New Roman" w:eastAsia="標楷體" w:hAnsi="Times New Roman" w:cs="Times New Roman"/>
                <w:b/>
                <w:color w:val="FF0000"/>
                <w:sz w:val="28"/>
                <w:szCs w:val="28"/>
                <w:u w:val="single"/>
              </w:rPr>
              <w:t>本次</w:t>
            </w:r>
            <w:r w:rsidR="00AB71FF" w:rsidRPr="00DB7372">
              <w:rPr>
                <w:rFonts w:ascii="Times New Roman" w:eastAsia="標楷體" w:hAnsi="Times New Roman" w:cs="Times New Roman"/>
                <w:b/>
                <w:color w:val="FF0000"/>
                <w:sz w:val="28"/>
                <w:szCs w:val="28"/>
                <w:u w:val="single"/>
              </w:rPr>
              <w:t>所發表的四月份</w:t>
            </w:r>
            <w:r w:rsidR="004B672D" w:rsidRPr="00DB7372">
              <w:rPr>
                <w:rFonts w:ascii="Times New Roman" w:eastAsia="標楷體" w:hAnsi="Times New Roman" w:cs="Times New Roman"/>
                <w:b/>
                <w:color w:val="FF0000"/>
                <w:sz w:val="28"/>
                <w:szCs w:val="28"/>
                <w:u w:val="single"/>
              </w:rPr>
              <w:t>（實際值）出現</w:t>
            </w:r>
            <w:r w:rsidR="00CE353B" w:rsidRPr="00CE353B">
              <w:rPr>
                <w:rFonts w:ascii="Times New Roman" w:eastAsia="標楷體" w:hAnsi="Times New Roman" w:cs="Times New Roman" w:hint="eastAsia"/>
                <w:b/>
                <w:color w:val="FF0000"/>
                <w:sz w:val="28"/>
                <w:szCs w:val="28"/>
                <w:u w:val="single"/>
                <w:lang w:eastAsia="zh-CN"/>
              </w:rPr>
              <w:t>復甦</w:t>
            </w:r>
            <w:r w:rsidR="005236CA" w:rsidRPr="00DB7372">
              <w:rPr>
                <w:rFonts w:ascii="Times New Roman" w:eastAsia="標楷體" w:hAnsi="Times New Roman" w:cs="Times New Roman"/>
                <w:b/>
                <w:color w:val="FF0000"/>
                <w:sz w:val="28"/>
                <w:szCs w:val="28"/>
                <w:u w:val="single"/>
              </w:rPr>
              <w:t>以來首次下降</w:t>
            </w:r>
            <w:r w:rsidR="00A7372C" w:rsidRPr="00DB7372">
              <w:rPr>
                <w:rFonts w:ascii="Times New Roman" w:eastAsia="標楷體" w:hAnsi="Times New Roman" w:cs="Times New Roman"/>
                <w:b/>
                <w:color w:val="FF0000"/>
                <w:sz w:val="28"/>
                <w:szCs w:val="28"/>
                <w:u w:val="single"/>
              </w:rPr>
              <w:t>，</w:t>
            </w:r>
            <w:r w:rsidR="003E35EE" w:rsidRPr="00DB7372">
              <w:rPr>
                <w:rFonts w:ascii="Times New Roman" w:eastAsia="標楷體" w:hAnsi="Times New Roman" w:cs="Times New Roman"/>
                <w:b/>
                <w:color w:val="FF0000"/>
                <w:sz w:val="28"/>
                <w:szCs w:val="28"/>
                <w:u w:val="single"/>
              </w:rPr>
              <w:t>可</w:t>
            </w:r>
            <w:r w:rsidR="00A7372C" w:rsidRPr="00DB7372">
              <w:rPr>
                <w:rFonts w:ascii="Times New Roman" w:eastAsia="標楷體" w:hAnsi="Times New Roman" w:cs="Times New Roman"/>
                <w:b/>
                <w:color w:val="FF0000"/>
                <w:sz w:val="28"/>
                <w:szCs w:val="28"/>
                <w:u w:val="single"/>
              </w:rPr>
              <w:t>見</w:t>
            </w:r>
            <w:r w:rsidR="00ED4928" w:rsidRPr="00DB7372">
              <w:rPr>
                <w:rFonts w:ascii="Times New Roman" w:eastAsia="標楷體" w:hAnsi="Times New Roman" w:cs="Times New Roman"/>
                <w:b/>
                <w:color w:val="FF0000"/>
                <w:sz w:val="28"/>
                <w:szCs w:val="28"/>
                <w:u w:val="single"/>
              </w:rPr>
              <w:t>今年</w:t>
            </w:r>
            <w:r w:rsidR="003679ED" w:rsidRPr="00DB7372">
              <w:rPr>
                <w:rFonts w:ascii="Times New Roman" w:eastAsia="標楷體" w:hAnsi="Times New Roman" w:cs="Times New Roman"/>
                <w:b/>
                <w:color w:val="FF0000"/>
                <w:sz w:val="28"/>
                <w:szCs w:val="28"/>
                <w:u w:val="single"/>
              </w:rPr>
              <w:t>年</w:t>
            </w:r>
            <w:r w:rsidR="00ED4928" w:rsidRPr="00DB7372">
              <w:rPr>
                <w:rFonts w:ascii="Times New Roman" w:eastAsia="標楷體" w:hAnsi="Times New Roman" w:cs="Times New Roman"/>
                <w:b/>
                <w:color w:val="FF0000"/>
                <w:sz w:val="28"/>
                <w:szCs w:val="28"/>
                <w:u w:val="single"/>
              </w:rPr>
              <w:t>底</w:t>
            </w:r>
            <w:r w:rsidR="006447B9" w:rsidRPr="00DB7372">
              <w:rPr>
                <w:rFonts w:ascii="Times New Roman" w:eastAsia="標楷體" w:hAnsi="Times New Roman" w:cs="Times New Roman"/>
                <w:b/>
                <w:color w:val="FF0000"/>
                <w:sz w:val="28"/>
                <w:szCs w:val="28"/>
                <w:u w:val="single"/>
              </w:rPr>
              <w:t>開始</w:t>
            </w:r>
            <w:r w:rsidR="0019125B" w:rsidRPr="00DB7372">
              <w:rPr>
                <w:rFonts w:ascii="Times New Roman" w:eastAsia="標楷體" w:hAnsi="Times New Roman" w:cs="Times New Roman"/>
                <w:b/>
                <w:color w:val="FF0000"/>
                <w:sz w:val="28"/>
                <w:szCs w:val="28"/>
                <w:u w:val="single"/>
              </w:rPr>
              <w:t>衰退</w:t>
            </w:r>
            <w:r w:rsidR="004A62DD" w:rsidRPr="00DB7372">
              <w:rPr>
                <w:rFonts w:ascii="Times New Roman" w:eastAsia="標楷體" w:hAnsi="Times New Roman" w:cs="Times New Roman"/>
                <w:b/>
                <w:color w:val="FF0000"/>
                <w:sz w:val="28"/>
                <w:szCs w:val="28"/>
                <w:u w:val="single"/>
              </w:rPr>
              <w:t>的風險</w:t>
            </w:r>
            <w:r w:rsidR="000673C1" w:rsidRPr="00DB7372">
              <w:rPr>
                <w:rFonts w:ascii="Times New Roman" w:eastAsia="標楷體" w:hAnsi="Times New Roman" w:cs="Times New Roman"/>
                <w:b/>
                <w:color w:val="FF0000"/>
                <w:sz w:val="28"/>
                <w:szCs w:val="28"/>
                <w:u w:val="single"/>
              </w:rPr>
              <w:t>正</w:t>
            </w:r>
            <w:r w:rsidR="00CA0C08" w:rsidRPr="00DB7372">
              <w:rPr>
                <w:rFonts w:ascii="Times New Roman" w:eastAsia="標楷體" w:hAnsi="Times New Roman" w:cs="Times New Roman"/>
                <w:b/>
                <w:color w:val="FF0000"/>
                <w:sz w:val="28"/>
                <w:szCs w:val="28"/>
                <w:u w:val="single"/>
              </w:rPr>
              <w:t>提高</w:t>
            </w:r>
            <w:r w:rsidR="006638A2" w:rsidRPr="00DB7372">
              <w:rPr>
                <w:rFonts w:ascii="Times New Roman" w:eastAsia="標楷體" w:hAnsi="Times New Roman" w:cs="Times New Roman"/>
                <w:b/>
                <w:color w:val="FF0000"/>
                <w:sz w:val="28"/>
                <w:szCs w:val="28"/>
                <w:u w:val="single"/>
              </w:rPr>
              <w:t>之中，</w:t>
            </w:r>
            <w:r w:rsidR="004C0126" w:rsidRPr="00DB7372">
              <w:rPr>
                <w:rFonts w:ascii="Times New Roman" w:eastAsia="標楷體" w:hAnsi="Times New Roman" w:cs="Times New Roman"/>
                <w:b/>
                <w:color w:val="FF0000"/>
                <w:sz w:val="28"/>
                <w:szCs w:val="28"/>
                <w:u w:val="single"/>
              </w:rPr>
              <w:t>亟</w:t>
            </w:r>
            <w:r w:rsidR="002A3761" w:rsidRPr="00DB7372">
              <w:rPr>
                <w:rFonts w:ascii="Times New Roman" w:eastAsia="標楷體" w:hAnsi="Times New Roman" w:cs="Times New Roman"/>
                <w:b/>
                <w:color w:val="FF0000"/>
                <w:sz w:val="28"/>
                <w:szCs w:val="28"/>
                <w:u w:val="single"/>
              </w:rPr>
              <w:t>需</w:t>
            </w:r>
            <w:r w:rsidR="00280157" w:rsidRPr="00DB7372">
              <w:rPr>
                <w:rFonts w:ascii="Times New Roman" w:eastAsia="標楷體" w:hAnsi="Times New Roman" w:cs="Times New Roman"/>
                <w:b/>
                <w:color w:val="FF0000"/>
                <w:sz w:val="28"/>
                <w:szCs w:val="28"/>
                <w:u w:val="single"/>
              </w:rPr>
              <w:t>加強</w:t>
            </w:r>
            <w:r w:rsidR="00C07736" w:rsidRPr="00DB7372">
              <w:rPr>
                <w:rFonts w:ascii="Times New Roman" w:eastAsia="標楷體" w:hAnsi="Times New Roman" w:cs="Times New Roman"/>
                <w:b/>
                <w:color w:val="FF0000"/>
                <w:sz w:val="28"/>
                <w:szCs w:val="28"/>
                <w:u w:val="single"/>
              </w:rPr>
              <w:t>景氣</w:t>
            </w:r>
            <w:r w:rsidR="00280157" w:rsidRPr="00DB7372">
              <w:rPr>
                <w:rFonts w:ascii="Times New Roman" w:eastAsia="標楷體" w:hAnsi="Times New Roman" w:cs="Times New Roman"/>
                <w:b/>
                <w:color w:val="FF0000"/>
                <w:sz w:val="28"/>
                <w:szCs w:val="28"/>
                <w:u w:val="single"/>
              </w:rPr>
              <w:t>抗衰</w:t>
            </w:r>
            <w:r w:rsidR="00D332CF" w:rsidRPr="00DB7372">
              <w:rPr>
                <w:rFonts w:ascii="Times New Roman" w:eastAsia="標楷體" w:hAnsi="Times New Roman" w:cs="Times New Roman"/>
                <w:b/>
                <w:color w:val="FF0000"/>
                <w:sz w:val="28"/>
                <w:szCs w:val="28"/>
                <w:u w:val="single"/>
              </w:rPr>
              <w:t>對策</w:t>
            </w:r>
            <w:r w:rsidR="000F7D42" w:rsidRPr="00DB7372">
              <w:rPr>
                <w:rFonts w:ascii="Times New Roman" w:eastAsia="標楷體" w:hAnsi="Times New Roman" w:cs="Times New Roman"/>
                <w:b/>
                <w:color w:val="FF0000"/>
                <w:sz w:val="28"/>
                <w:szCs w:val="28"/>
                <w:u w:val="single"/>
              </w:rPr>
              <w:t>。</w:t>
            </w:r>
          </w:p>
          <w:p w14:paraId="3B58644B" w14:textId="77777777" w:rsidR="009B737F" w:rsidRPr="00DB7372" w:rsidRDefault="009B737F" w:rsidP="00FB785D">
            <w:pPr>
              <w:adjustRightInd w:val="0"/>
              <w:ind w:firstLineChars="200" w:firstLine="561"/>
              <w:rPr>
                <w:rFonts w:ascii="Times New Roman" w:eastAsia="標楷體" w:hAnsi="Times New Roman" w:cs="Times New Roman"/>
                <w:b/>
                <w:color w:val="FF0000"/>
                <w:sz w:val="28"/>
                <w:szCs w:val="28"/>
                <w:u w:val="single"/>
              </w:rPr>
            </w:pPr>
          </w:p>
          <w:p w14:paraId="490C7161" w14:textId="77777777" w:rsidR="00FB785D" w:rsidRPr="00DB7372" w:rsidRDefault="006078BF" w:rsidP="00FB785D">
            <w:pPr>
              <w:adjustRightInd w:val="0"/>
              <w:snapToGrid w:val="0"/>
              <w:jc w:val="center"/>
              <w:rPr>
                <w:rFonts w:ascii="Times New Roman" w:eastAsia="標楷體" w:hAnsi="Times New Roman" w:cs="Times New Roman"/>
                <w:sz w:val="28"/>
                <w:szCs w:val="28"/>
              </w:rPr>
            </w:pPr>
            <w:r w:rsidRPr="00DB7372">
              <w:rPr>
                <w:rFonts w:ascii="Times New Roman" w:eastAsia="標楷體" w:hAnsi="Times New Roman" w:cs="Times New Roman"/>
                <w:noProof/>
                <w:sz w:val="28"/>
                <w:szCs w:val="28"/>
              </w:rPr>
              <w:drawing>
                <wp:inline distT="0" distB="0" distL="0" distR="0" wp14:anchorId="0AA20017" wp14:editId="03EA37E5">
                  <wp:extent cx="6418800" cy="2618018"/>
                  <wp:effectExtent l="0" t="0" r="127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8800" cy="2618018"/>
                          </a:xfrm>
                          <a:prstGeom prst="rect">
                            <a:avLst/>
                          </a:prstGeom>
                          <a:noFill/>
                        </pic:spPr>
                      </pic:pic>
                    </a:graphicData>
                  </a:graphic>
                </wp:inline>
              </w:drawing>
            </w:r>
          </w:p>
          <w:p w14:paraId="7D6671CC" w14:textId="77777777" w:rsidR="00FB785D" w:rsidRPr="00DB7372" w:rsidRDefault="00FB785D" w:rsidP="00FB785D">
            <w:pPr>
              <w:adjustRightInd w:val="0"/>
              <w:jc w:val="center"/>
              <w:rPr>
                <w:rFonts w:ascii="Times New Roman" w:eastAsia="標楷體" w:hAnsi="Times New Roman" w:cs="Times New Roman"/>
                <w:sz w:val="28"/>
                <w:szCs w:val="28"/>
              </w:rPr>
            </w:pPr>
            <w:r w:rsidRPr="00DB7372">
              <w:rPr>
                <w:rFonts w:ascii="Times New Roman" w:eastAsia="標楷體" w:hAnsi="Times New Roman" w:cs="Times New Roman"/>
                <w:sz w:val="28"/>
                <w:szCs w:val="28"/>
              </w:rPr>
              <w:t>圖</w:t>
            </w:r>
            <w:r w:rsidRPr="00DB7372">
              <w:rPr>
                <w:rFonts w:ascii="Times New Roman" w:eastAsia="標楷體" w:hAnsi="Times New Roman" w:cs="Times New Roman"/>
                <w:sz w:val="28"/>
                <w:szCs w:val="28"/>
              </w:rPr>
              <w:t xml:space="preserve"> </w:t>
            </w:r>
            <w:r w:rsidRPr="00DB7372">
              <w:rPr>
                <w:rFonts w:ascii="Times New Roman" w:eastAsia="標楷體" w:hAnsi="Times New Roman" w:cs="Times New Roman"/>
                <w:sz w:val="28"/>
                <w:szCs w:val="28"/>
              </w:rPr>
              <w:t>同行指標近期走勢</w:t>
            </w:r>
          </w:p>
          <w:p w14:paraId="09CF8229" w14:textId="417FD44E" w:rsidR="00DB4677" w:rsidRPr="00DB7372" w:rsidRDefault="006D2136" w:rsidP="006D2136">
            <w:pPr>
              <w:adjustRightInd w:val="0"/>
              <w:rPr>
                <w:rFonts w:ascii="Times New Roman" w:eastAsia="標楷體" w:hAnsi="Times New Roman" w:cs="Times New Roman"/>
                <w:sz w:val="28"/>
                <w:szCs w:val="28"/>
              </w:rPr>
            </w:pPr>
            <w:r w:rsidRPr="00DB7372">
              <w:rPr>
                <w:rFonts w:ascii="Times New Roman" w:eastAsia="標楷體" w:hAnsi="Times New Roman" w:cs="Times New Roman"/>
                <w:sz w:val="28"/>
                <w:szCs w:val="28"/>
              </w:rPr>
              <w:lastRenderedPageBreak/>
              <w:t xml:space="preserve">　</w:t>
            </w:r>
            <w:r w:rsidR="00376563" w:rsidRPr="00DB7372">
              <w:rPr>
                <w:rFonts w:ascii="Times New Roman" w:eastAsia="標楷體" w:hAnsi="Times New Roman" w:cs="Times New Roman"/>
                <w:sz w:val="28"/>
                <w:szCs w:val="28"/>
                <w:lang w:eastAsia="zh-CN"/>
              </w:rPr>
              <w:t xml:space="preserve">  </w:t>
            </w:r>
            <w:r w:rsidR="00582761" w:rsidRPr="00DB7372">
              <w:rPr>
                <w:rFonts w:ascii="Times New Roman" w:eastAsia="標楷體" w:hAnsi="Times New Roman" w:cs="Times New Roman"/>
                <w:b/>
                <w:bCs/>
                <w:color w:val="FF0000"/>
                <w:sz w:val="28"/>
                <w:szCs w:val="28"/>
                <w:lang w:eastAsia="zh-CN"/>
              </w:rPr>
              <w:t>年底衰退若成真，</w:t>
            </w:r>
            <w:r w:rsidR="00F15779" w:rsidRPr="00DB7372">
              <w:rPr>
                <w:rFonts w:ascii="Times New Roman" w:eastAsia="標楷體" w:hAnsi="Times New Roman" w:cs="Times New Roman"/>
                <w:b/>
                <w:bCs/>
                <w:color w:val="FF0000"/>
                <w:sz w:val="28"/>
                <w:szCs w:val="28"/>
                <w:lang w:eastAsia="zh-CN"/>
              </w:rPr>
              <w:t>將是一次</w:t>
            </w:r>
            <w:r w:rsidR="007A74DF" w:rsidRPr="00DB7372">
              <w:rPr>
                <w:rFonts w:ascii="Times New Roman" w:eastAsia="標楷體" w:hAnsi="Times New Roman" w:cs="Times New Roman"/>
                <w:b/>
                <w:bCs/>
                <w:color w:val="FF0000"/>
                <w:sz w:val="28"/>
                <w:szCs w:val="28"/>
                <w:lang w:eastAsia="zh-CN"/>
              </w:rPr>
              <w:t>高峰最矮</w:t>
            </w:r>
            <w:r w:rsidR="0061244B" w:rsidRPr="00DB7372">
              <w:rPr>
                <w:rFonts w:ascii="Times New Roman" w:eastAsia="標楷體" w:hAnsi="Times New Roman" w:cs="Times New Roman"/>
                <w:b/>
                <w:bCs/>
                <w:color w:val="FF0000"/>
                <w:sz w:val="28"/>
                <w:szCs w:val="28"/>
                <w:lang w:eastAsia="zh-CN"/>
              </w:rPr>
              <w:t>且下墜速度</w:t>
            </w:r>
            <w:r w:rsidR="00DE4285" w:rsidRPr="00DB7372">
              <w:rPr>
                <w:rFonts w:ascii="Times New Roman" w:eastAsia="標楷體" w:hAnsi="Times New Roman" w:cs="Times New Roman"/>
                <w:b/>
                <w:bCs/>
                <w:color w:val="FF0000"/>
                <w:sz w:val="28"/>
                <w:szCs w:val="28"/>
                <w:lang w:eastAsia="zh-CN"/>
              </w:rPr>
              <w:t>較</w:t>
            </w:r>
            <w:r w:rsidR="0061244B" w:rsidRPr="00DB7372">
              <w:rPr>
                <w:rFonts w:ascii="Times New Roman" w:eastAsia="標楷體" w:hAnsi="Times New Roman" w:cs="Times New Roman"/>
                <w:b/>
                <w:bCs/>
                <w:color w:val="FF0000"/>
                <w:sz w:val="28"/>
                <w:szCs w:val="28"/>
                <w:lang w:eastAsia="zh-CN"/>
              </w:rPr>
              <w:t>快的</w:t>
            </w:r>
            <w:r w:rsidR="00DA2F77" w:rsidRPr="00DB7372">
              <w:rPr>
                <w:rFonts w:ascii="Times New Roman" w:eastAsia="標楷體" w:hAnsi="Times New Roman" w:cs="Times New Roman"/>
                <w:b/>
                <w:bCs/>
                <w:color w:val="FF0000"/>
                <w:sz w:val="28"/>
                <w:szCs w:val="28"/>
                <w:lang w:eastAsia="zh-CN"/>
              </w:rPr>
              <w:t>衰退</w:t>
            </w:r>
            <w:r w:rsidR="00B068D3" w:rsidRPr="00DB7372">
              <w:rPr>
                <w:rFonts w:ascii="Times New Roman" w:eastAsia="標楷體" w:hAnsi="Times New Roman" w:cs="Times New Roman"/>
                <w:b/>
                <w:bCs/>
                <w:color w:val="FF0000"/>
                <w:sz w:val="28"/>
                <w:szCs w:val="28"/>
                <w:lang w:eastAsia="zh-CN"/>
              </w:rPr>
              <w:t>，</w:t>
            </w:r>
            <w:r w:rsidR="00054F61" w:rsidRPr="00DB7372">
              <w:rPr>
                <w:rFonts w:ascii="Times New Roman" w:eastAsia="標楷體" w:hAnsi="Times New Roman" w:cs="Times New Roman"/>
                <w:b/>
                <w:bCs/>
                <w:color w:val="FF0000"/>
                <w:sz w:val="28"/>
                <w:szCs w:val="28"/>
                <w:lang w:eastAsia="zh-CN"/>
              </w:rPr>
              <w:t>不宜小</w:t>
            </w:r>
            <w:r w:rsidR="005F1152" w:rsidRPr="00DB7372">
              <w:rPr>
                <w:rFonts w:ascii="Times New Roman" w:eastAsia="標楷體" w:hAnsi="Times New Roman" w:cs="Times New Roman"/>
                <w:b/>
                <w:bCs/>
                <w:color w:val="FF0000"/>
                <w:sz w:val="28"/>
                <w:szCs w:val="28"/>
                <w:lang w:eastAsia="zh-CN"/>
              </w:rPr>
              <w:t>覷</w:t>
            </w:r>
          </w:p>
          <w:p w14:paraId="0DB4C48B" w14:textId="6F671AB7" w:rsidR="00DB7372" w:rsidRPr="00DB7372" w:rsidRDefault="007A1E20" w:rsidP="006D2136">
            <w:pPr>
              <w:adjustRightInd w:val="0"/>
              <w:rPr>
                <w:rFonts w:ascii="Times New Roman" w:eastAsia="標楷體" w:hAnsi="Times New Roman" w:cs="Times New Roman"/>
                <w:sz w:val="28"/>
                <w:szCs w:val="28"/>
              </w:rPr>
            </w:pPr>
            <w:r w:rsidRPr="00DB7372">
              <w:rPr>
                <w:rFonts w:ascii="Times New Roman" w:eastAsia="標楷體" w:hAnsi="Times New Roman" w:cs="Times New Roman"/>
                <w:sz w:val="28"/>
                <w:szCs w:val="28"/>
                <w:lang w:eastAsia="zh-CN"/>
              </w:rPr>
              <w:t xml:space="preserve">    </w:t>
            </w:r>
            <w:r w:rsidR="000F7D42" w:rsidRPr="00DB7372">
              <w:rPr>
                <w:rFonts w:ascii="Times New Roman" w:eastAsia="標楷體" w:hAnsi="Times New Roman" w:cs="Times New Roman"/>
                <w:sz w:val="28"/>
                <w:szCs w:val="28"/>
              </w:rPr>
              <w:t>商研院</w:t>
            </w:r>
            <w:r w:rsidR="00666585" w:rsidRPr="00DB7372">
              <w:rPr>
                <w:rFonts w:ascii="Times New Roman" w:eastAsia="標楷體" w:hAnsi="Times New Roman" w:cs="Times New Roman"/>
                <w:sz w:val="28"/>
                <w:szCs w:val="28"/>
              </w:rPr>
              <w:t>景氣循環預測小組表示，</w:t>
            </w:r>
            <w:r w:rsidR="000F7D42" w:rsidRPr="00DB7372">
              <w:rPr>
                <w:rFonts w:ascii="Times New Roman" w:eastAsia="標楷體" w:hAnsi="Times New Roman" w:cs="Times New Roman"/>
                <w:sz w:val="28"/>
                <w:szCs w:val="28"/>
              </w:rPr>
              <w:t>以美國「全國經濟研究局」（</w:t>
            </w:r>
            <w:r w:rsidR="000F7D42" w:rsidRPr="00DB7372">
              <w:rPr>
                <w:rFonts w:ascii="Times New Roman" w:eastAsia="標楷體" w:hAnsi="Times New Roman" w:cs="Times New Roman"/>
                <w:sz w:val="28"/>
                <w:szCs w:val="28"/>
              </w:rPr>
              <w:t>NBER</w:t>
            </w:r>
            <w:r w:rsidR="000F7D42" w:rsidRPr="00DB7372">
              <w:rPr>
                <w:rFonts w:ascii="Times New Roman" w:eastAsia="標楷體" w:hAnsi="Times New Roman" w:cs="Times New Roman"/>
                <w:sz w:val="28"/>
                <w:szCs w:val="28"/>
              </w:rPr>
              <w:t>）景氣綜合指標法編製的台灣商業服務業景氣循環「領先指標綜合指數」，預測經證實可代表商業服務業整體景氣動向的「同行指標綜合指數」</w:t>
            </w:r>
            <w:r w:rsidR="002469CE" w:rsidRPr="00DB7372">
              <w:rPr>
                <w:rFonts w:ascii="Times New Roman" w:eastAsia="標楷體" w:hAnsi="Times New Roman" w:cs="Times New Roman"/>
                <w:sz w:val="28"/>
                <w:szCs w:val="28"/>
              </w:rPr>
              <w:t>以</w:t>
            </w:r>
            <w:r w:rsidR="00D92238" w:rsidRPr="00DB7372">
              <w:rPr>
                <w:rFonts w:ascii="Times New Roman" w:eastAsia="標楷體" w:hAnsi="Times New Roman" w:cs="Times New Roman"/>
                <w:sz w:val="28"/>
                <w:szCs w:val="28"/>
              </w:rPr>
              <w:t>「領先指標</w:t>
            </w:r>
            <w:r w:rsidR="001C594D" w:rsidRPr="00DB7372">
              <w:rPr>
                <w:rFonts w:ascii="Times New Roman" w:eastAsia="標楷體" w:hAnsi="Times New Roman" w:cs="Times New Roman"/>
                <w:sz w:val="28"/>
                <w:szCs w:val="28"/>
              </w:rPr>
              <w:t>綜合指數」領先</w:t>
            </w:r>
            <w:r w:rsidR="005162D8" w:rsidRPr="00DB7372">
              <w:rPr>
                <w:rFonts w:ascii="Times New Roman" w:eastAsia="標楷體" w:hAnsi="Times New Roman" w:cs="Times New Roman"/>
                <w:sz w:val="28"/>
                <w:szCs w:val="28"/>
              </w:rPr>
              <w:t>七</w:t>
            </w:r>
            <w:r w:rsidR="00B661A0" w:rsidRPr="00DB7372">
              <w:rPr>
                <w:rFonts w:ascii="Times New Roman" w:eastAsia="標楷體" w:hAnsi="Times New Roman" w:cs="Times New Roman"/>
                <w:sz w:val="28"/>
                <w:szCs w:val="28"/>
              </w:rPr>
              <w:t>個月</w:t>
            </w:r>
            <w:r w:rsidR="00ED2BA4" w:rsidRPr="00DB7372">
              <w:rPr>
                <w:rFonts w:ascii="Times New Roman" w:eastAsia="標楷體" w:hAnsi="Times New Roman" w:cs="Times New Roman"/>
                <w:sz w:val="28"/>
                <w:szCs w:val="28"/>
              </w:rPr>
              <w:t>效果</w:t>
            </w:r>
            <w:r w:rsidR="00B661A0" w:rsidRPr="00DB7372">
              <w:rPr>
                <w:rFonts w:ascii="Times New Roman" w:eastAsia="標楷體" w:hAnsi="Times New Roman" w:cs="Times New Roman"/>
                <w:sz w:val="28"/>
                <w:szCs w:val="28"/>
              </w:rPr>
              <w:t>所作預測</w:t>
            </w:r>
            <w:r w:rsidR="002810F8" w:rsidRPr="00DB7372">
              <w:rPr>
                <w:rFonts w:ascii="Times New Roman" w:eastAsia="標楷體" w:hAnsi="Times New Roman" w:cs="Times New Roman"/>
                <w:sz w:val="28"/>
                <w:szCs w:val="28"/>
              </w:rPr>
              <w:t>發現，</w:t>
            </w:r>
            <w:r w:rsidR="0053038C" w:rsidRPr="00DB7372">
              <w:rPr>
                <w:rFonts w:ascii="Times New Roman" w:eastAsia="標楷體" w:hAnsi="Times New Roman" w:cs="Times New Roman"/>
                <w:sz w:val="28"/>
                <w:szCs w:val="28"/>
              </w:rPr>
              <w:t>繼續</w:t>
            </w:r>
            <w:r w:rsidR="00314353" w:rsidRPr="00DB7372">
              <w:rPr>
                <w:rFonts w:ascii="Times New Roman" w:eastAsia="標楷體" w:hAnsi="Times New Roman" w:cs="Times New Roman"/>
                <w:sz w:val="28"/>
                <w:szCs w:val="28"/>
                <w:lang w:eastAsia="zh-CN"/>
              </w:rPr>
              <w:t>10</w:t>
            </w:r>
            <w:r w:rsidR="00314353" w:rsidRPr="00DB7372">
              <w:rPr>
                <w:rFonts w:ascii="Times New Roman" w:eastAsia="標楷體" w:hAnsi="Times New Roman" w:cs="Times New Roman"/>
                <w:sz w:val="28"/>
                <w:szCs w:val="28"/>
              </w:rPr>
              <w:t>月</w:t>
            </w:r>
            <w:r w:rsidR="00ED2BA4" w:rsidRPr="00DB7372">
              <w:rPr>
                <w:rFonts w:ascii="Times New Roman" w:eastAsia="標楷體" w:hAnsi="Times New Roman" w:cs="Times New Roman"/>
                <w:sz w:val="28"/>
                <w:szCs w:val="28"/>
              </w:rPr>
              <w:t>轉升為</w:t>
            </w:r>
            <w:r w:rsidR="00EC4006" w:rsidRPr="00DB7372">
              <w:rPr>
                <w:rFonts w:ascii="Times New Roman" w:eastAsia="標楷體" w:hAnsi="Times New Roman" w:cs="Times New Roman"/>
                <w:sz w:val="28"/>
                <w:szCs w:val="28"/>
              </w:rPr>
              <w:t>降</w:t>
            </w:r>
            <w:r w:rsidR="007E7B93" w:rsidRPr="00DB7372">
              <w:rPr>
                <w:rFonts w:ascii="Times New Roman" w:eastAsia="標楷體" w:hAnsi="Times New Roman" w:cs="Times New Roman"/>
                <w:sz w:val="28"/>
                <w:szCs w:val="28"/>
              </w:rPr>
              <w:t>後</w:t>
            </w:r>
            <w:r w:rsidR="000D645A" w:rsidRPr="00DB7372">
              <w:rPr>
                <w:rFonts w:ascii="Times New Roman" w:eastAsia="標楷體" w:hAnsi="Times New Roman" w:cs="Times New Roman"/>
                <w:sz w:val="28"/>
                <w:szCs w:val="28"/>
              </w:rPr>
              <w:t>，</w:t>
            </w:r>
            <w:r w:rsidR="000D645A" w:rsidRPr="00DB7372">
              <w:rPr>
                <w:rFonts w:ascii="Times New Roman" w:eastAsia="標楷體" w:hAnsi="Times New Roman" w:cs="Times New Roman"/>
                <w:sz w:val="28"/>
                <w:szCs w:val="28"/>
                <w:lang w:eastAsia="zh-CN"/>
              </w:rPr>
              <w:t>11</w:t>
            </w:r>
            <w:r w:rsidR="000D645A" w:rsidRPr="00DB7372">
              <w:rPr>
                <w:rFonts w:ascii="Times New Roman" w:eastAsia="標楷體" w:hAnsi="Times New Roman" w:cs="Times New Roman"/>
                <w:sz w:val="28"/>
                <w:szCs w:val="28"/>
              </w:rPr>
              <w:t>月續見下降。</w:t>
            </w:r>
          </w:p>
          <w:p w14:paraId="66003AA0" w14:textId="6178E354" w:rsidR="00DB7372" w:rsidRPr="00DB7372" w:rsidRDefault="00D74BB1" w:rsidP="006D2136">
            <w:pPr>
              <w:adjustRightInd w:val="0"/>
              <w:rPr>
                <w:rFonts w:ascii="Times New Roman" w:eastAsia="SimSun" w:hAnsi="Times New Roman" w:cs="Times New Roman"/>
                <w:sz w:val="28"/>
                <w:szCs w:val="28"/>
                <w:lang w:eastAsia="zh-CN"/>
              </w:rPr>
            </w:pPr>
            <w:r w:rsidRPr="00DB7372">
              <w:rPr>
                <w:rFonts w:ascii="Times New Roman" w:eastAsia="標楷體" w:hAnsi="Times New Roman" w:cs="Times New Roman"/>
                <w:sz w:val="28"/>
                <w:szCs w:val="28"/>
                <w:lang w:eastAsia="zh-CN"/>
              </w:rPr>
              <w:t xml:space="preserve">    </w:t>
            </w:r>
            <w:r w:rsidR="00541401" w:rsidRPr="00DB7372">
              <w:rPr>
                <w:rFonts w:ascii="Times New Roman" w:eastAsia="標楷體" w:hAnsi="Times New Roman" w:cs="Times New Roman"/>
                <w:sz w:val="28"/>
                <w:szCs w:val="28"/>
              </w:rPr>
              <w:t>雖然</w:t>
            </w:r>
            <w:r w:rsidR="00680E02" w:rsidRPr="00DB7372">
              <w:rPr>
                <w:rFonts w:ascii="Times New Roman" w:eastAsia="標楷體" w:hAnsi="Times New Roman" w:cs="Times New Roman"/>
                <w:sz w:val="28"/>
                <w:szCs w:val="28"/>
              </w:rPr>
              <w:t>循環指數仍有</w:t>
            </w:r>
            <w:r w:rsidR="00680E02" w:rsidRPr="00DB7372">
              <w:rPr>
                <w:rFonts w:ascii="Times New Roman" w:eastAsia="標楷體" w:hAnsi="Times New Roman" w:cs="Times New Roman"/>
                <w:sz w:val="28"/>
                <w:szCs w:val="28"/>
                <w:lang w:eastAsia="zh-CN"/>
              </w:rPr>
              <w:t>100.0842</w:t>
            </w:r>
            <w:r w:rsidR="00B5723E" w:rsidRPr="00DB7372">
              <w:rPr>
                <w:rFonts w:ascii="Times New Roman" w:eastAsia="標楷體" w:hAnsi="Times New Roman" w:cs="Times New Roman"/>
                <w:sz w:val="28"/>
                <w:szCs w:val="28"/>
              </w:rPr>
              <w:t>超過長期趨勢值</w:t>
            </w:r>
            <w:r w:rsidR="00B5723E" w:rsidRPr="00DB7372">
              <w:rPr>
                <w:rFonts w:ascii="Times New Roman" w:eastAsia="標楷體" w:hAnsi="Times New Roman" w:cs="Times New Roman"/>
                <w:sz w:val="28"/>
                <w:szCs w:val="28"/>
                <w:lang w:eastAsia="zh-CN"/>
              </w:rPr>
              <w:t>100</w:t>
            </w:r>
            <w:r w:rsidR="00B5723E" w:rsidRPr="00DB7372">
              <w:rPr>
                <w:rFonts w:ascii="Times New Roman" w:eastAsia="標楷體" w:hAnsi="Times New Roman" w:cs="Times New Roman"/>
                <w:sz w:val="28"/>
                <w:szCs w:val="28"/>
              </w:rPr>
              <w:t>，但</w:t>
            </w:r>
            <w:r w:rsidR="00411629" w:rsidRPr="00DB7372">
              <w:rPr>
                <w:rFonts w:ascii="Times New Roman" w:eastAsia="標楷體" w:hAnsi="Times New Roman" w:cs="Times New Roman"/>
                <w:sz w:val="28"/>
                <w:szCs w:val="28"/>
              </w:rPr>
              <w:t>預測</w:t>
            </w:r>
            <w:r w:rsidR="00D811B9" w:rsidRPr="00DB7372">
              <w:rPr>
                <w:rFonts w:ascii="Times New Roman" w:eastAsia="標楷體" w:hAnsi="Times New Roman" w:cs="Times New Roman"/>
                <w:sz w:val="28"/>
                <w:szCs w:val="28"/>
              </w:rPr>
              <w:t>兩</w:t>
            </w:r>
            <w:r w:rsidR="00411629" w:rsidRPr="00DB7372">
              <w:rPr>
                <w:rFonts w:ascii="Times New Roman" w:eastAsia="標楷體" w:hAnsi="Times New Roman" w:cs="Times New Roman"/>
                <w:sz w:val="28"/>
                <w:szCs w:val="28"/>
              </w:rPr>
              <w:t>個月</w:t>
            </w:r>
            <w:r w:rsidR="000D198B" w:rsidRPr="00DB7372">
              <w:rPr>
                <w:rFonts w:ascii="Times New Roman" w:eastAsia="標楷體" w:hAnsi="Times New Roman" w:cs="Times New Roman"/>
                <w:sz w:val="28"/>
                <w:szCs w:val="28"/>
              </w:rPr>
              <w:t>的</w:t>
            </w:r>
            <w:r w:rsidR="00CF6757" w:rsidRPr="00DB7372">
              <w:rPr>
                <w:rFonts w:ascii="Times New Roman" w:eastAsia="標楷體" w:hAnsi="Times New Roman" w:cs="Times New Roman"/>
                <w:sz w:val="28"/>
                <w:szCs w:val="28"/>
              </w:rPr>
              <w:t>平均</w:t>
            </w:r>
            <w:r w:rsidR="008D4FDF" w:rsidRPr="00DB7372">
              <w:rPr>
                <w:rFonts w:ascii="Times New Roman" w:eastAsia="標楷體" w:hAnsi="Times New Roman" w:cs="Times New Roman"/>
                <w:sz w:val="28"/>
                <w:szCs w:val="28"/>
              </w:rPr>
              <w:t>降幅（</w:t>
            </w:r>
            <w:r w:rsidR="00E76E2C" w:rsidRPr="00DB7372">
              <w:rPr>
                <w:rFonts w:ascii="Times New Roman" w:eastAsia="標楷體" w:hAnsi="Times New Roman" w:cs="Times New Roman"/>
                <w:sz w:val="28"/>
                <w:szCs w:val="28"/>
                <w:lang w:eastAsia="zh-CN"/>
              </w:rPr>
              <w:t>-</w:t>
            </w:r>
            <w:r w:rsidR="006103FD" w:rsidRPr="00DB7372">
              <w:rPr>
                <w:rFonts w:ascii="Times New Roman" w:eastAsia="標楷體" w:hAnsi="Times New Roman" w:cs="Times New Roman"/>
                <w:sz w:val="28"/>
                <w:szCs w:val="28"/>
                <w:lang w:eastAsia="zh-CN"/>
              </w:rPr>
              <w:t>0.0</w:t>
            </w:r>
            <w:r w:rsidR="005073F5" w:rsidRPr="00DB7372">
              <w:rPr>
                <w:rFonts w:ascii="Times New Roman" w:eastAsia="標楷體" w:hAnsi="Times New Roman" w:cs="Times New Roman"/>
                <w:sz w:val="28"/>
                <w:szCs w:val="28"/>
                <w:lang w:eastAsia="zh-CN"/>
              </w:rPr>
              <w:t>7235</w:t>
            </w:r>
            <w:r w:rsidR="006103FD" w:rsidRPr="00DB7372">
              <w:rPr>
                <w:rFonts w:ascii="Times New Roman" w:eastAsia="標楷體" w:hAnsi="Times New Roman" w:cs="Times New Roman"/>
                <w:sz w:val="28"/>
                <w:szCs w:val="28"/>
              </w:rPr>
              <w:t>）</w:t>
            </w:r>
            <w:r w:rsidR="002C5891" w:rsidRPr="00DB7372">
              <w:rPr>
                <w:rFonts w:ascii="Times New Roman" w:eastAsia="標楷體" w:hAnsi="Times New Roman" w:cs="Times New Roman"/>
                <w:sz w:val="28"/>
                <w:szCs w:val="28"/>
              </w:rPr>
              <w:t>比</w:t>
            </w:r>
            <w:r w:rsidR="00E76E2C" w:rsidRPr="00DB7372">
              <w:rPr>
                <w:rFonts w:ascii="Times New Roman" w:eastAsia="標楷體" w:hAnsi="Times New Roman" w:cs="Times New Roman"/>
                <w:sz w:val="28"/>
                <w:szCs w:val="28"/>
              </w:rPr>
              <w:t>之前</w:t>
            </w:r>
            <w:r w:rsidR="00F47054" w:rsidRPr="00DB7372">
              <w:rPr>
                <w:rFonts w:ascii="Times New Roman" w:eastAsia="標楷體" w:hAnsi="Times New Roman" w:cs="Times New Roman"/>
                <w:sz w:val="28"/>
                <w:szCs w:val="28"/>
              </w:rPr>
              <w:t>四</w:t>
            </w:r>
            <w:r w:rsidR="002C5891" w:rsidRPr="00DB7372">
              <w:rPr>
                <w:rFonts w:ascii="Times New Roman" w:eastAsia="標楷體" w:hAnsi="Times New Roman" w:cs="Times New Roman"/>
                <w:sz w:val="28"/>
                <w:szCs w:val="28"/>
              </w:rPr>
              <w:t>個月</w:t>
            </w:r>
            <w:r w:rsidR="00F5264B" w:rsidRPr="00DB7372">
              <w:rPr>
                <w:rFonts w:ascii="Times New Roman" w:eastAsia="標楷體" w:hAnsi="Times New Roman" w:cs="Times New Roman"/>
                <w:sz w:val="28"/>
                <w:szCs w:val="28"/>
              </w:rPr>
              <w:t>的</w:t>
            </w:r>
            <w:r w:rsidR="00EF3DB2" w:rsidRPr="00DB7372">
              <w:rPr>
                <w:rFonts w:ascii="Times New Roman" w:eastAsia="標楷體" w:hAnsi="Times New Roman" w:cs="Times New Roman"/>
                <w:sz w:val="28"/>
                <w:szCs w:val="28"/>
              </w:rPr>
              <w:t>平均</w:t>
            </w:r>
            <w:r w:rsidR="00CB5E2F" w:rsidRPr="00DB7372">
              <w:rPr>
                <w:rFonts w:ascii="Times New Roman" w:eastAsia="標楷體" w:hAnsi="Times New Roman" w:cs="Times New Roman"/>
                <w:sz w:val="28"/>
                <w:szCs w:val="28"/>
              </w:rPr>
              <w:t>升幅</w:t>
            </w:r>
            <w:r w:rsidR="00EF3DB2" w:rsidRPr="00DB7372">
              <w:rPr>
                <w:rFonts w:ascii="Times New Roman" w:eastAsia="標楷體" w:hAnsi="Times New Roman" w:cs="Times New Roman"/>
                <w:sz w:val="28"/>
                <w:szCs w:val="28"/>
              </w:rPr>
              <w:t>（</w:t>
            </w:r>
            <w:r w:rsidR="00CB5E2F" w:rsidRPr="00DB7372">
              <w:rPr>
                <w:rFonts w:ascii="Times New Roman" w:eastAsia="標楷體" w:hAnsi="Times New Roman" w:cs="Times New Roman"/>
                <w:sz w:val="28"/>
                <w:szCs w:val="28"/>
                <w:lang w:eastAsia="zh-CN"/>
              </w:rPr>
              <w:t>+</w:t>
            </w:r>
            <w:r w:rsidR="009929E5" w:rsidRPr="00DB7372">
              <w:rPr>
                <w:rFonts w:ascii="Times New Roman" w:eastAsia="標楷體" w:hAnsi="Times New Roman" w:cs="Times New Roman"/>
                <w:sz w:val="28"/>
                <w:szCs w:val="28"/>
                <w:lang w:eastAsia="zh-CN"/>
              </w:rPr>
              <w:t>0.03</w:t>
            </w:r>
            <w:r w:rsidR="00CB5E2F" w:rsidRPr="00DB7372">
              <w:rPr>
                <w:rFonts w:ascii="Times New Roman" w:eastAsia="標楷體" w:hAnsi="Times New Roman" w:cs="Times New Roman"/>
                <w:sz w:val="28"/>
                <w:szCs w:val="28"/>
                <w:lang w:eastAsia="zh-CN"/>
              </w:rPr>
              <w:t>6</w:t>
            </w:r>
            <w:r w:rsidR="009929E5" w:rsidRPr="00DB7372">
              <w:rPr>
                <w:rFonts w:ascii="Times New Roman" w:eastAsia="標楷體" w:hAnsi="Times New Roman" w:cs="Times New Roman"/>
                <w:sz w:val="28"/>
                <w:szCs w:val="28"/>
                <w:lang w:eastAsia="zh-CN"/>
              </w:rPr>
              <w:t>8</w:t>
            </w:r>
            <w:r w:rsidR="009929E5" w:rsidRPr="00DB7372">
              <w:rPr>
                <w:rFonts w:ascii="Times New Roman" w:eastAsia="標楷體" w:hAnsi="Times New Roman" w:cs="Times New Roman"/>
                <w:sz w:val="28"/>
                <w:szCs w:val="28"/>
              </w:rPr>
              <w:t>）為大</w:t>
            </w:r>
            <w:r w:rsidR="00B32613" w:rsidRPr="00DB7372">
              <w:rPr>
                <w:rFonts w:ascii="Times New Roman" w:eastAsia="標楷體" w:hAnsi="Times New Roman" w:cs="Times New Roman"/>
                <w:sz w:val="28"/>
                <w:szCs w:val="28"/>
              </w:rPr>
              <w:t>。</w:t>
            </w:r>
            <w:r w:rsidR="005C24F2" w:rsidRPr="00DB7372">
              <w:rPr>
                <w:rFonts w:ascii="Times New Roman" w:eastAsia="標楷體" w:hAnsi="Times New Roman" w:cs="Times New Roman"/>
                <w:sz w:val="28"/>
                <w:szCs w:val="28"/>
                <w:lang w:eastAsia="zh-CN"/>
              </w:rPr>
              <w:t>若</w:t>
            </w:r>
            <w:r w:rsidR="00966D87" w:rsidRPr="00DB7372">
              <w:rPr>
                <w:rFonts w:ascii="Times New Roman" w:eastAsia="標楷體" w:hAnsi="Times New Roman" w:cs="Times New Roman"/>
                <w:sz w:val="28"/>
                <w:szCs w:val="28"/>
                <w:lang w:eastAsia="zh-CN"/>
              </w:rPr>
              <w:t>在年底</w:t>
            </w:r>
            <w:r w:rsidR="001F0F6B" w:rsidRPr="00DB7372">
              <w:rPr>
                <w:rFonts w:ascii="Times New Roman" w:eastAsia="標楷體" w:hAnsi="Times New Roman" w:cs="Times New Roman"/>
                <w:sz w:val="28"/>
                <w:szCs w:val="28"/>
                <w:lang w:eastAsia="zh-CN"/>
              </w:rPr>
              <w:t>衰退的預測不幸</w:t>
            </w:r>
            <w:r w:rsidR="000E65CA" w:rsidRPr="00DB7372">
              <w:rPr>
                <w:rFonts w:ascii="Times New Roman" w:eastAsia="標楷體" w:hAnsi="Times New Roman" w:cs="Times New Roman"/>
                <w:sz w:val="28"/>
                <w:szCs w:val="28"/>
                <w:lang w:eastAsia="zh-CN"/>
              </w:rPr>
              <w:t>成真，</w:t>
            </w:r>
            <w:r w:rsidR="005E2956" w:rsidRPr="00DB7372">
              <w:rPr>
                <w:rFonts w:ascii="Times New Roman" w:eastAsia="標楷體" w:hAnsi="Times New Roman" w:cs="Times New Roman"/>
                <w:sz w:val="28"/>
                <w:szCs w:val="28"/>
                <w:lang w:eastAsia="zh-CN"/>
              </w:rPr>
              <w:t>這</w:t>
            </w:r>
            <w:r w:rsidR="009724EF" w:rsidRPr="00DB7372">
              <w:rPr>
                <w:rFonts w:ascii="Times New Roman" w:eastAsia="標楷體" w:hAnsi="Times New Roman" w:cs="Times New Roman"/>
                <w:sz w:val="28"/>
                <w:szCs w:val="28"/>
                <w:lang w:eastAsia="zh-CN"/>
              </w:rPr>
              <w:t>比較</w:t>
            </w:r>
            <w:r w:rsidR="00E8683C" w:rsidRPr="00DB7372">
              <w:rPr>
                <w:rFonts w:ascii="Times New Roman" w:eastAsia="標楷體" w:hAnsi="Times New Roman" w:cs="Times New Roman"/>
                <w:sz w:val="28"/>
                <w:szCs w:val="28"/>
                <w:lang w:eastAsia="zh-CN"/>
              </w:rPr>
              <w:t>前面三次循環的</w:t>
            </w:r>
            <w:r w:rsidR="00C71F36" w:rsidRPr="00DB7372">
              <w:rPr>
                <w:rFonts w:ascii="Times New Roman" w:eastAsia="標楷體" w:hAnsi="Times New Roman" w:cs="Times New Roman"/>
                <w:sz w:val="28"/>
                <w:szCs w:val="28"/>
                <w:lang w:eastAsia="zh-CN"/>
              </w:rPr>
              <w:t>高峰水</w:t>
            </w:r>
            <w:r w:rsidR="00AB3DAA" w:rsidRPr="00DB7372">
              <w:rPr>
                <w:rFonts w:ascii="Times New Roman" w:eastAsia="標楷體" w:hAnsi="Times New Roman" w:cs="Times New Roman"/>
                <w:sz w:val="28"/>
                <w:szCs w:val="28"/>
                <w:lang w:eastAsia="zh-CN"/>
              </w:rPr>
              <w:t>平</w:t>
            </w:r>
            <w:r w:rsidR="00C71F36" w:rsidRPr="00DB7372">
              <w:rPr>
                <w:rFonts w:ascii="Times New Roman" w:eastAsia="標楷體" w:hAnsi="Times New Roman" w:cs="Times New Roman"/>
                <w:sz w:val="28"/>
                <w:szCs w:val="28"/>
                <w:lang w:eastAsia="zh-CN"/>
              </w:rPr>
              <w:t>及</w:t>
            </w:r>
            <w:r w:rsidR="00AB3DAA" w:rsidRPr="00DB7372">
              <w:rPr>
                <w:rFonts w:ascii="Times New Roman" w:eastAsia="標楷體" w:hAnsi="Times New Roman" w:cs="Times New Roman"/>
                <w:sz w:val="28"/>
                <w:szCs w:val="28"/>
                <w:lang w:eastAsia="zh-CN"/>
              </w:rPr>
              <w:t>見衰</w:t>
            </w:r>
            <w:r w:rsidR="00096B59" w:rsidRPr="00DB7372">
              <w:rPr>
                <w:rFonts w:ascii="Times New Roman" w:eastAsia="標楷體" w:hAnsi="Times New Roman" w:cs="Times New Roman"/>
                <w:sz w:val="28"/>
                <w:szCs w:val="28"/>
                <w:lang w:eastAsia="zh-CN"/>
              </w:rPr>
              <w:t>開始</w:t>
            </w:r>
            <w:r w:rsidR="00C71F36" w:rsidRPr="00DB7372">
              <w:rPr>
                <w:rFonts w:ascii="Times New Roman" w:eastAsia="標楷體" w:hAnsi="Times New Roman" w:cs="Times New Roman"/>
                <w:sz w:val="28"/>
                <w:szCs w:val="28"/>
                <w:lang w:eastAsia="zh-CN"/>
              </w:rPr>
              <w:t>兩個</w:t>
            </w:r>
            <w:r w:rsidR="00762D1B" w:rsidRPr="00DB7372">
              <w:rPr>
                <w:rFonts w:ascii="Times New Roman" w:eastAsia="標楷體" w:hAnsi="Times New Roman" w:cs="Times New Roman"/>
                <w:sz w:val="28"/>
                <w:szCs w:val="28"/>
                <w:lang w:eastAsia="zh-CN"/>
              </w:rPr>
              <w:t>月</w:t>
            </w:r>
            <w:r w:rsidRPr="00DB7372">
              <w:rPr>
                <w:rFonts w:ascii="Times New Roman" w:eastAsia="標楷體" w:hAnsi="Times New Roman" w:cs="Times New Roman"/>
                <w:sz w:val="28"/>
                <w:szCs w:val="28"/>
                <w:lang w:eastAsia="zh-CN"/>
              </w:rPr>
              <w:t>內</w:t>
            </w:r>
            <w:r w:rsidR="00762D1B" w:rsidRPr="00DB7372">
              <w:rPr>
                <w:rFonts w:ascii="Times New Roman" w:eastAsia="標楷體" w:hAnsi="Times New Roman" w:cs="Times New Roman"/>
                <w:sz w:val="28"/>
                <w:szCs w:val="28"/>
                <w:lang w:eastAsia="zh-CN"/>
              </w:rPr>
              <w:t>的下降速度，即可發現</w:t>
            </w:r>
            <w:r w:rsidR="004439BE" w:rsidRPr="00DB7372">
              <w:rPr>
                <w:rFonts w:ascii="Times New Roman" w:eastAsia="標楷體" w:hAnsi="Times New Roman" w:cs="Times New Roman"/>
                <w:sz w:val="28"/>
                <w:szCs w:val="28"/>
                <w:lang w:eastAsia="zh-CN"/>
              </w:rPr>
              <w:t>本次</w:t>
            </w:r>
            <w:r w:rsidR="00DE6981" w:rsidRPr="00DB7372">
              <w:rPr>
                <w:rFonts w:ascii="Times New Roman" w:eastAsia="標楷體" w:hAnsi="Times New Roman" w:cs="Times New Roman"/>
                <w:sz w:val="28"/>
                <w:szCs w:val="28"/>
                <w:lang w:eastAsia="zh-CN"/>
              </w:rPr>
              <w:t>的高峰</w:t>
            </w:r>
            <w:r w:rsidR="00797726" w:rsidRPr="00DB7372">
              <w:rPr>
                <w:rFonts w:ascii="Times New Roman" w:eastAsia="標楷體" w:hAnsi="Times New Roman" w:cs="Times New Roman"/>
                <w:sz w:val="28"/>
                <w:szCs w:val="28"/>
                <w:lang w:eastAsia="zh-CN"/>
              </w:rPr>
              <w:t>將</w:t>
            </w:r>
            <w:r w:rsidR="00776313" w:rsidRPr="00DB7372">
              <w:rPr>
                <w:rFonts w:ascii="Times New Roman" w:eastAsia="標楷體" w:hAnsi="Times New Roman" w:cs="Times New Roman"/>
                <w:sz w:val="28"/>
                <w:szCs w:val="28"/>
                <w:lang w:eastAsia="zh-CN"/>
              </w:rPr>
              <w:t>最矮</w:t>
            </w:r>
            <w:r w:rsidR="004E01DB" w:rsidRPr="00DB7372">
              <w:rPr>
                <w:rFonts w:ascii="Times New Roman" w:eastAsia="標楷體" w:hAnsi="Times New Roman" w:cs="Times New Roman"/>
                <w:sz w:val="28"/>
                <w:szCs w:val="28"/>
                <w:lang w:eastAsia="zh-CN"/>
              </w:rPr>
              <w:t>且衰退速度最快</w:t>
            </w:r>
            <w:r w:rsidR="003C3B56" w:rsidRPr="00DB7372">
              <w:rPr>
                <w:rFonts w:ascii="Times New Roman" w:eastAsia="標楷體" w:hAnsi="Times New Roman" w:cs="Times New Roman"/>
                <w:sz w:val="28"/>
                <w:szCs w:val="28"/>
                <w:lang w:eastAsia="zh-CN"/>
              </w:rPr>
              <w:t>。</w:t>
            </w:r>
          </w:p>
          <w:p w14:paraId="5E289DF6" w14:textId="5EE35C79" w:rsidR="000F7D42" w:rsidRDefault="001254C1" w:rsidP="006D2136">
            <w:pPr>
              <w:adjustRightInd w:val="0"/>
              <w:rPr>
                <w:rFonts w:ascii="Times New Roman" w:eastAsia="SimSun" w:hAnsi="Times New Roman" w:cs="Times New Roman"/>
                <w:sz w:val="28"/>
                <w:szCs w:val="28"/>
                <w:lang w:eastAsia="zh-CN"/>
              </w:rPr>
            </w:pPr>
            <w:r w:rsidRPr="00DB7372">
              <w:rPr>
                <w:rFonts w:ascii="Times New Roman" w:eastAsia="標楷體" w:hAnsi="Times New Roman" w:cs="Times New Roman"/>
                <w:sz w:val="28"/>
                <w:szCs w:val="28"/>
                <w:lang w:eastAsia="zh-CN"/>
              </w:rPr>
              <w:t xml:space="preserve">    </w:t>
            </w:r>
            <w:r w:rsidR="00CA5F0F" w:rsidRPr="00DB7372">
              <w:rPr>
                <w:rFonts w:ascii="Times New Roman" w:eastAsia="標楷體" w:hAnsi="Times New Roman" w:cs="Times New Roman"/>
                <w:sz w:val="28"/>
                <w:szCs w:val="28"/>
                <w:lang w:eastAsia="zh-CN"/>
              </w:rPr>
              <w:t>假設</w:t>
            </w:r>
            <w:r w:rsidR="005718F5" w:rsidRPr="00DB7372">
              <w:rPr>
                <w:rFonts w:ascii="Times New Roman" w:eastAsia="標楷體" w:hAnsi="Times New Roman" w:cs="Times New Roman"/>
                <w:sz w:val="28"/>
                <w:szCs w:val="28"/>
                <w:lang w:eastAsia="zh-CN"/>
              </w:rPr>
              <w:t>預測</w:t>
            </w:r>
            <w:r w:rsidR="005718F5" w:rsidRPr="00DB7372">
              <w:rPr>
                <w:rFonts w:ascii="Times New Roman" w:eastAsia="標楷體" w:hAnsi="Times New Roman" w:cs="Times New Roman"/>
                <w:sz w:val="28"/>
                <w:szCs w:val="28"/>
                <w:lang w:eastAsia="zh-CN"/>
              </w:rPr>
              <w:t>2018</w:t>
            </w:r>
            <w:r w:rsidR="005718F5" w:rsidRPr="00DB7372">
              <w:rPr>
                <w:rFonts w:ascii="Times New Roman" w:eastAsia="標楷體" w:hAnsi="Times New Roman" w:cs="Times New Roman"/>
                <w:sz w:val="28"/>
                <w:szCs w:val="28"/>
                <w:lang w:eastAsia="zh-CN"/>
              </w:rPr>
              <w:t>年</w:t>
            </w:r>
            <w:r w:rsidR="005718F5" w:rsidRPr="00DB7372">
              <w:rPr>
                <w:rFonts w:ascii="Times New Roman" w:eastAsia="標楷體" w:hAnsi="Times New Roman" w:cs="Times New Roman"/>
                <w:sz w:val="28"/>
                <w:szCs w:val="28"/>
                <w:lang w:eastAsia="zh-CN"/>
              </w:rPr>
              <w:t>9</w:t>
            </w:r>
            <w:r w:rsidR="005718F5" w:rsidRPr="00DB7372">
              <w:rPr>
                <w:rFonts w:ascii="Times New Roman" w:eastAsia="標楷體" w:hAnsi="Times New Roman" w:cs="Times New Roman"/>
                <w:sz w:val="28"/>
                <w:szCs w:val="28"/>
                <w:lang w:eastAsia="zh-CN"/>
              </w:rPr>
              <w:t>月是</w:t>
            </w:r>
            <w:r w:rsidR="00CD64FB" w:rsidRPr="00DB7372">
              <w:rPr>
                <w:rFonts w:ascii="Times New Roman" w:eastAsia="標楷體" w:hAnsi="Times New Roman" w:cs="Times New Roman"/>
                <w:sz w:val="28"/>
                <w:szCs w:val="28"/>
                <w:lang w:eastAsia="zh-CN"/>
              </w:rPr>
              <w:t>未來高峰，預測</w:t>
            </w:r>
            <w:r w:rsidR="001C00ED" w:rsidRPr="00DB7372">
              <w:rPr>
                <w:rFonts w:ascii="Times New Roman" w:eastAsia="標楷體" w:hAnsi="Times New Roman" w:cs="Times New Roman"/>
                <w:sz w:val="28"/>
                <w:szCs w:val="28"/>
                <w:lang w:eastAsia="zh-CN"/>
              </w:rPr>
              <w:t>循環趨勢值為</w:t>
            </w:r>
            <w:r w:rsidR="001C00ED" w:rsidRPr="00DB7372">
              <w:rPr>
                <w:rFonts w:ascii="Times New Roman" w:eastAsia="標楷體" w:hAnsi="Times New Roman" w:cs="Times New Roman"/>
                <w:sz w:val="28"/>
                <w:szCs w:val="28"/>
                <w:lang w:eastAsia="zh-CN"/>
              </w:rPr>
              <w:t>100.2289</w:t>
            </w:r>
            <w:r w:rsidR="001C00ED" w:rsidRPr="00DB7372">
              <w:rPr>
                <w:rFonts w:ascii="Times New Roman" w:eastAsia="標楷體" w:hAnsi="Times New Roman" w:cs="Times New Roman"/>
                <w:sz w:val="28"/>
                <w:szCs w:val="28"/>
                <w:lang w:eastAsia="zh-CN"/>
              </w:rPr>
              <w:t>，比</w:t>
            </w:r>
            <w:r w:rsidR="004B7407" w:rsidRPr="00DB7372">
              <w:rPr>
                <w:rFonts w:ascii="Times New Roman" w:eastAsia="標楷體" w:hAnsi="Times New Roman" w:cs="Times New Roman"/>
                <w:sz w:val="28"/>
                <w:szCs w:val="28"/>
                <w:lang w:eastAsia="zh-CN"/>
              </w:rPr>
              <w:t>2008/3</w:t>
            </w:r>
            <w:r w:rsidR="004B7407" w:rsidRPr="00DB7372">
              <w:rPr>
                <w:rFonts w:ascii="Times New Roman" w:eastAsia="標楷體" w:hAnsi="Times New Roman" w:cs="Times New Roman"/>
                <w:sz w:val="28"/>
                <w:szCs w:val="28"/>
                <w:lang w:eastAsia="zh-CN"/>
              </w:rPr>
              <w:t>（金融海嘯）</w:t>
            </w:r>
            <w:r w:rsidR="006F3D2F" w:rsidRPr="00DB7372">
              <w:rPr>
                <w:rFonts w:ascii="Times New Roman" w:eastAsia="標楷體" w:hAnsi="Times New Roman" w:cs="Times New Roman"/>
                <w:sz w:val="28"/>
                <w:szCs w:val="28"/>
                <w:lang w:eastAsia="zh-CN"/>
              </w:rPr>
              <w:t>的</w:t>
            </w:r>
            <w:r w:rsidR="006F3D2F" w:rsidRPr="00DB7372">
              <w:rPr>
                <w:rFonts w:ascii="Times New Roman" w:eastAsia="標楷體" w:hAnsi="Times New Roman" w:cs="Times New Roman"/>
                <w:sz w:val="28"/>
                <w:szCs w:val="28"/>
                <w:lang w:eastAsia="zh-CN"/>
              </w:rPr>
              <w:t>102.9422</w:t>
            </w:r>
            <w:r w:rsidR="006F3D2F" w:rsidRPr="00DB7372">
              <w:rPr>
                <w:rFonts w:ascii="Times New Roman" w:eastAsia="標楷體" w:hAnsi="Times New Roman" w:cs="Times New Roman"/>
                <w:sz w:val="28"/>
                <w:szCs w:val="28"/>
                <w:lang w:eastAsia="zh-CN"/>
              </w:rPr>
              <w:t>，</w:t>
            </w:r>
            <w:r w:rsidR="006F3D2F" w:rsidRPr="00DB7372">
              <w:rPr>
                <w:rFonts w:ascii="Times New Roman" w:eastAsia="標楷體" w:hAnsi="Times New Roman" w:cs="Times New Roman"/>
                <w:sz w:val="28"/>
                <w:szCs w:val="28"/>
                <w:lang w:eastAsia="zh-CN"/>
              </w:rPr>
              <w:t>2011/8</w:t>
            </w:r>
            <w:r w:rsidR="006343F4" w:rsidRPr="00DB7372">
              <w:rPr>
                <w:rFonts w:ascii="Times New Roman" w:eastAsia="標楷體" w:hAnsi="Times New Roman" w:cs="Times New Roman"/>
                <w:sz w:val="28"/>
                <w:szCs w:val="28"/>
                <w:lang w:eastAsia="zh-CN"/>
              </w:rPr>
              <w:t>的</w:t>
            </w:r>
            <w:r w:rsidR="006343F4" w:rsidRPr="00DB7372">
              <w:rPr>
                <w:rFonts w:ascii="Times New Roman" w:eastAsia="標楷體" w:hAnsi="Times New Roman" w:cs="Times New Roman"/>
                <w:sz w:val="28"/>
                <w:szCs w:val="28"/>
                <w:lang w:eastAsia="zh-CN"/>
              </w:rPr>
              <w:t>100.5734</w:t>
            </w:r>
            <w:r w:rsidR="006343F4" w:rsidRPr="00DB7372">
              <w:rPr>
                <w:rFonts w:ascii="Times New Roman" w:eastAsia="標楷體" w:hAnsi="Times New Roman" w:cs="Times New Roman"/>
                <w:sz w:val="28"/>
                <w:szCs w:val="28"/>
                <w:lang w:eastAsia="zh-CN"/>
              </w:rPr>
              <w:t>，</w:t>
            </w:r>
            <w:r w:rsidR="001D57B0" w:rsidRPr="00DB7372">
              <w:rPr>
                <w:rFonts w:ascii="Times New Roman" w:eastAsia="標楷體" w:hAnsi="Times New Roman" w:cs="Times New Roman"/>
                <w:sz w:val="28"/>
                <w:szCs w:val="28"/>
                <w:lang w:eastAsia="zh-CN"/>
              </w:rPr>
              <w:t>2015/2</w:t>
            </w:r>
            <w:r w:rsidR="001D57B0" w:rsidRPr="00DB7372">
              <w:rPr>
                <w:rFonts w:ascii="Times New Roman" w:eastAsia="標楷體" w:hAnsi="Times New Roman" w:cs="Times New Roman"/>
                <w:sz w:val="28"/>
                <w:szCs w:val="28"/>
                <w:lang w:eastAsia="zh-CN"/>
              </w:rPr>
              <w:t>的</w:t>
            </w:r>
            <w:r w:rsidR="001D57B0" w:rsidRPr="00DB7372">
              <w:rPr>
                <w:rFonts w:ascii="Times New Roman" w:eastAsia="標楷體" w:hAnsi="Times New Roman" w:cs="Times New Roman"/>
                <w:sz w:val="28"/>
                <w:szCs w:val="28"/>
                <w:lang w:eastAsia="zh-CN"/>
              </w:rPr>
              <w:t>100.7482</w:t>
            </w:r>
            <w:r w:rsidR="00911AA0" w:rsidRPr="00DB7372">
              <w:rPr>
                <w:rFonts w:ascii="Times New Roman" w:eastAsia="標楷體" w:hAnsi="Times New Roman" w:cs="Times New Roman"/>
                <w:sz w:val="28"/>
                <w:szCs w:val="28"/>
                <w:lang w:eastAsia="zh-CN"/>
              </w:rPr>
              <w:t>皆低。再比較</w:t>
            </w:r>
            <w:r w:rsidR="00FD1DC5" w:rsidRPr="00DB7372">
              <w:rPr>
                <w:rFonts w:ascii="Times New Roman" w:eastAsia="標楷體" w:hAnsi="Times New Roman" w:cs="Times New Roman"/>
                <w:sz w:val="28"/>
                <w:szCs w:val="28"/>
                <w:lang w:eastAsia="zh-CN"/>
              </w:rPr>
              <w:t>衰退兩個月的平均降幅</w:t>
            </w:r>
            <w:r w:rsidR="009963D6" w:rsidRPr="00DB7372">
              <w:rPr>
                <w:rFonts w:ascii="Times New Roman" w:eastAsia="標楷體" w:hAnsi="Times New Roman" w:cs="Times New Roman"/>
                <w:sz w:val="28"/>
                <w:szCs w:val="28"/>
                <w:lang w:eastAsia="zh-CN"/>
              </w:rPr>
              <w:t>，此次的</w:t>
            </w:r>
            <w:r w:rsidR="009963D6" w:rsidRPr="00DB7372">
              <w:rPr>
                <w:rFonts w:ascii="Times New Roman" w:eastAsia="標楷體" w:hAnsi="Times New Roman" w:cs="Times New Roman"/>
                <w:sz w:val="28"/>
                <w:szCs w:val="28"/>
                <w:lang w:eastAsia="zh-CN"/>
              </w:rPr>
              <w:t>-0.07235</w:t>
            </w:r>
            <w:r w:rsidR="004B5F53" w:rsidRPr="00DB7372">
              <w:rPr>
                <w:rFonts w:ascii="Times New Roman" w:eastAsia="標楷體" w:hAnsi="Times New Roman" w:cs="Times New Roman"/>
                <w:sz w:val="28"/>
                <w:szCs w:val="28"/>
                <w:lang w:eastAsia="zh-CN"/>
              </w:rPr>
              <w:t>亦</w:t>
            </w:r>
            <w:r w:rsidR="007D6834" w:rsidRPr="00DB7372">
              <w:rPr>
                <w:rFonts w:ascii="Times New Roman" w:eastAsia="標楷體" w:hAnsi="Times New Roman" w:cs="Times New Roman"/>
                <w:sz w:val="28"/>
                <w:szCs w:val="28"/>
                <w:lang w:eastAsia="zh-CN"/>
              </w:rPr>
              <w:t>將</w:t>
            </w:r>
            <w:r w:rsidR="00527C10" w:rsidRPr="00DB7372">
              <w:rPr>
                <w:rFonts w:ascii="Times New Roman" w:eastAsia="標楷體" w:hAnsi="Times New Roman" w:cs="Times New Roman"/>
                <w:sz w:val="28"/>
                <w:szCs w:val="28"/>
                <w:lang w:eastAsia="zh-CN"/>
              </w:rPr>
              <w:t>分别</w:t>
            </w:r>
            <w:r w:rsidR="00B6532A" w:rsidRPr="00DB7372">
              <w:rPr>
                <w:rFonts w:ascii="Times New Roman" w:eastAsia="標楷體" w:hAnsi="Times New Roman" w:cs="Times New Roman"/>
                <w:sz w:val="28"/>
                <w:szCs w:val="28"/>
                <w:lang w:eastAsia="zh-CN"/>
              </w:rPr>
              <w:t>比</w:t>
            </w:r>
            <w:r w:rsidR="00527C10" w:rsidRPr="00DB7372">
              <w:rPr>
                <w:rFonts w:ascii="Times New Roman" w:eastAsia="標楷體" w:hAnsi="Times New Roman" w:cs="Times New Roman"/>
                <w:sz w:val="28"/>
                <w:szCs w:val="28"/>
                <w:lang w:eastAsia="zh-CN"/>
              </w:rPr>
              <w:t>上述</w:t>
            </w:r>
            <w:r w:rsidR="00307CA6" w:rsidRPr="00DB7372">
              <w:rPr>
                <w:rFonts w:ascii="Times New Roman" w:eastAsia="標楷體" w:hAnsi="Times New Roman" w:cs="Times New Roman"/>
                <w:sz w:val="28"/>
                <w:szCs w:val="28"/>
                <w:lang w:eastAsia="zh-CN"/>
              </w:rPr>
              <w:t>各</w:t>
            </w:r>
            <w:r w:rsidR="00782B4F" w:rsidRPr="00DB7372">
              <w:rPr>
                <w:rFonts w:ascii="Times New Roman" w:eastAsia="標楷體" w:hAnsi="Times New Roman" w:cs="Times New Roman"/>
                <w:sz w:val="28"/>
                <w:szCs w:val="28"/>
                <w:lang w:eastAsia="zh-CN"/>
              </w:rPr>
              <w:t>次衰退</w:t>
            </w:r>
            <w:r w:rsidR="00010CCE" w:rsidRPr="00DB7372">
              <w:rPr>
                <w:rFonts w:ascii="Times New Roman" w:eastAsia="標楷體" w:hAnsi="Times New Roman" w:cs="Times New Roman"/>
                <w:sz w:val="28"/>
                <w:szCs w:val="28"/>
                <w:lang w:eastAsia="zh-CN"/>
              </w:rPr>
              <w:t>2008/3</w:t>
            </w:r>
            <w:r w:rsidR="00782B4F" w:rsidRPr="00DB7372">
              <w:rPr>
                <w:rFonts w:ascii="Times New Roman" w:eastAsia="標楷體" w:hAnsi="Times New Roman" w:cs="Times New Roman"/>
                <w:sz w:val="28"/>
                <w:szCs w:val="28"/>
                <w:lang w:eastAsia="zh-CN"/>
              </w:rPr>
              <w:t>的</w:t>
            </w:r>
            <w:r w:rsidR="00307CA6" w:rsidRPr="00DB7372">
              <w:rPr>
                <w:rFonts w:ascii="Times New Roman" w:eastAsia="標楷體" w:hAnsi="Times New Roman" w:cs="Times New Roman"/>
                <w:sz w:val="28"/>
                <w:szCs w:val="28"/>
                <w:lang w:eastAsia="zh-CN"/>
              </w:rPr>
              <w:t>-0.0411</w:t>
            </w:r>
            <w:r w:rsidR="00307CA6" w:rsidRPr="00DB7372">
              <w:rPr>
                <w:rFonts w:ascii="Times New Roman" w:eastAsia="標楷體" w:hAnsi="Times New Roman" w:cs="Times New Roman"/>
                <w:sz w:val="28"/>
                <w:szCs w:val="28"/>
                <w:lang w:eastAsia="zh-CN"/>
              </w:rPr>
              <w:t>，</w:t>
            </w:r>
            <w:r w:rsidR="00C00EFE" w:rsidRPr="00DB7372">
              <w:rPr>
                <w:rFonts w:ascii="Times New Roman" w:eastAsia="標楷體" w:hAnsi="Times New Roman" w:cs="Times New Roman"/>
                <w:sz w:val="28"/>
                <w:szCs w:val="28"/>
                <w:lang w:eastAsia="zh-CN"/>
              </w:rPr>
              <w:t>2011/8</w:t>
            </w:r>
            <w:r w:rsidR="00C00EFE" w:rsidRPr="00DB7372">
              <w:rPr>
                <w:rFonts w:ascii="Times New Roman" w:eastAsia="標楷體" w:hAnsi="Times New Roman" w:cs="Times New Roman"/>
                <w:sz w:val="28"/>
                <w:szCs w:val="28"/>
                <w:lang w:eastAsia="zh-CN"/>
              </w:rPr>
              <w:t>的</w:t>
            </w:r>
            <w:r w:rsidR="00F13B8F" w:rsidRPr="00DB7372">
              <w:rPr>
                <w:rFonts w:ascii="Times New Roman" w:eastAsia="標楷體" w:hAnsi="Times New Roman" w:cs="Times New Roman"/>
                <w:sz w:val="28"/>
                <w:szCs w:val="28"/>
                <w:lang w:eastAsia="zh-CN"/>
              </w:rPr>
              <w:t>-0.01365</w:t>
            </w:r>
            <w:r w:rsidR="00BB1DCE" w:rsidRPr="00DB7372">
              <w:rPr>
                <w:rFonts w:ascii="Times New Roman" w:eastAsia="標楷體" w:hAnsi="Times New Roman" w:cs="Times New Roman"/>
                <w:sz w:val="28"/>
                <w:szCs w:val="28"/>
                <w:lang w:eastAsia="zh-CN"/>
              </w:rPr>
              <w:t>，</w:t>
            </w:r>
            <w:r w:rsidR="00C00EFE" w:rsidRPr="00DB7372">
              <w:rPr>
                <w:rFonts w:ascii="Times New Roman" w:eastAsia="標楷體" w:hAnsi="Times New Roman" w:cs="Times New Roman"/>
                <w:sz w:val="28"/>
                <w:szCs w:val="28"/>
                <w:lang w:eastAsia="zh-CN"/>
              </w:rPr>
              <w:t>2015/2</w:t>
            </w:r>
            <w:r w:rsidR="00C00EFE" w:rsidRPr="00DB7372">
              <w:rPr>
                <w:rFonts w:ascii="Times New Roman" w:eastAsia="標楷體" w:hAnsi="Times New Roman" w:cs="Times New Roman"/>
                <w:sz w:val="28"/>
                <w:szCs w:val="28"/>
                <w:lang w:eastAsia="zh-CN"/>
              </w:rPr>
              <w:t>的</w:t>
            </w:r>
            <w:r w:rsidR="00BB1DCE" w:rsidRPr="00DB7372">
              <w:rPr>
                <w:rFonts w:ascii="Times New Roman" w:eastAsia="標楷體" w:hAnsi="Times New Roman" w:cs="Times New Roman"/>
                <w:sz w:val="28"/>
                <w:szCs w:val="28"/>
                <w:lang w:eastAsia="zh-CN"/>
              </w:rPr>
              <w:t>-0.0168</w:t>
            </w:r>
            <w:r w:rsidR="00E319CB" w:rsidRPr="00DB7372">
              <w:rPr>
                <w:rFonts w:ascii="Times New Roman" w:eastAsia="標楷體" w:hAnsi="Times New Roman" w:cs="Times New Roman"/>
                <w:sz w:val="28"/>
                <w:szCs w:val="28"/>
                <w:lang w:eastAsia="zh-CN"/>
              </w:rPr>
              <w:t>為劇。</w:t>
            </w:r>
            <w:r w:rsidR="001C5914" w:rsidRPr="00DB7372">
              <w:rPr>
                <w:rFonts w:ascii="Times New Roman" w:eastAsia="標楷體" w:hAnsi="Times New Roman" w:cs="Times New Roman"/>
                <w:sz w:val="28"/>
                <w:szCs w:val="28"/>
                <w:lang w:eastAsia="zh-CN"/>
              </w:rPr>
              <w:t>顯見此</w:t>
            </w:r>
            <w:r w:rsidR="00C86BEC" w:rsidRPr="00DB7372">
              <w:rPr>
                <w:rFonts w:ascii="Times New Roman" w:eastAsia="標楷體" w:hAnsi="Times New Roman" w:cs="Times New Roman"/>
                <w:sz w:val="28"/>
                <w:szCs w:val="28"/>
                <w:lang w:eastAsia="zh-CN"/>
              </w:rPr>
              <w:t>次</w:t>
            </w:r>
            <w:r w:rsidR="00CE353B" w:rsidRPr="003126E7">
              <w:rPr>
                <w:rFonts w:ascii="Times New Roman" w:eastAsia="標楷體" w:hAnsi="Times New Roman" w:cs="Times New Roman" w:hint="eastAsia"/>
                <w:sz w:val="28"/>
                <w:szCs w:val="28"/>
                <w:lang w:eastAsia="zh-CN"/>
              </w:rPr>
              <w:t>復甦</w:t>
            </w:r>
            <w:r w:rsidR="002D5AD7" w:rsidRPr="00DB7372">
              <w:rPr>
                <w:rFonts w:ascii="Times New Roman" w:eastAsia="標楷體" w:hAnsi="Times New Roman" w:cs="Times New Roman"/>
                <w:sz w:val="28"/>
                <w:szCs w:val="28"/>
                <w:lang w:eastAsia="zh-CN"/>
              </w:rPr>
              <w:t>前景</w:t>
            </w:r>
            <w:r w:rsidR="0096262C" w:rsidRPr="00DB7372">
              <w:rPr>
                <w:rFonts w:ascii="Times New Roman" w:eastAsia="標楷體" w:hAnsi="Times New Roman" w:cs="Times New Roman"/>
                <w:sz w:val="28"/>
                <w:szCs w:val="28"/>
                <w:lang w:eastAsia="zh-CN"/>
              </w:rPr>
              <w:t>將</w:t>
            </w:r>
            <w:r w:rsidR="005E43FC" w:rsidRPr="00DB7372">
              <w:rPr>
                <w:rFonts w:ascii="Times New Roman" w:eastAsia="標楷體" w:hAnsi="Times New Roman" w:cs="Times New Roman"/>
                <w:sz w:val="28"/>
                <w:szCs w:val="28"/>
                <w:lang w:eastAsia="zh-CN"/>
              </w:rPr>
              <w:t>因</w:t>
            </w:r>
            <w:r w:rsidR="00F66C69" w:rsidRPr="00DB7372">
              <w:rPr>
                <w:rFonts w:ascii="Times New Roman" w:eastAsia="標楷體" w:hAnsi="Times New Roman" w:cs="Times New Roman"/>
                <w:sz w:val="28"/>
                <w:szCs w:val="28"/>
                <w:lang w:eastAsia="zh-CN"/>
              </w:rPr>
              <w:t>後繼無力</w:t>
            </w:r>
            <w:r w:rsidR="00C12F80" w:rsidRPr="00DB7372">
              <w:rPr>
                <w:rFonts w:ascii="Times New Roman" w:eastAsia="標楷體" w:hAnsi="Times New Roman" w:cs="Times New Roman"/>
                <w:sz w:val="28"/>
                <w:szCs w:val="28"/>
                <w:lang w:eastAsia="zh-CN"/>
              </w:rPr>
              <w:t>而</w:t>
            </w:r>
            <w:r w:rsidR="005D7B6E" w:rsidRPr="00DB7372">
              <w:rPr>
                <w:rFonts w:ascii="Times New Roman" w:eastAsia="標楷體" w:hAnsi="Times New Roman" w:cs="Times New Roman"/>
                <w:sz w:val="28"/>
                <w:szCs w:val="28"/>
                <w:lang w:eastAsia="zh-CN"/>
              </w:rPr>
              <w:t>轉</w:t>
            </w:r>
            <w:r w:rsidR="00990AE8" w:rsidRPr="00DB7372">
              <w:rPr>
                <w:rFonts w:ascii="Times New Roman" w:eastAsia="標楷體" w:hAnsi="Times New Roman" w:cs="Times New Roman"/>
                <w:sz w:val="28"/>
                <w:szCs w:val="28"/>
                <w:lang w:eastAsia="zh-CN"/>
              </w:rPr>
              <w:t>快速</w:t>
            </w:r>
            <w:r w:rsidR="0096262C" w:rsidRPr="00DB7372">
              <w:rPr>
                <w:rFonts w:ascii="Times New Roman" w:eastAsia="標楷體" w:hAnsi="Times New Roman" w:cs="Times New Roman"/>
                <w:sz w:val="28"/>
                <w:szCs w:val="28"/>
                <w:lang w:eastAsia="zh-CN"/>
              </w:rPr>
              <w:t>下墜。</w:t>
            </w:r>
          </w:p>
          <w:p w14:paraId="462EE357" w14:textId="7C1699EC" w:rsidR="003D6C36" w:rsidRPr="00E35965" w:rsidRDefault="003D6C36" w:rsidP="006D2136">
            <w:pPr>
              <w:adjustRightInd w:val="0"/>
              <w:rPr>
                <w:rFonts w:ascii="Times New Roman" w:eastAsia="標楷體" w:hAnsi="Times New Roman" w:cs="Times New Roman"/>
                <w:b/>
                <w:color w:val="0000FF"/>
                <w:sz w:val="28"/>
                <w:szCs w:val="28"/>
                <w:lang w:eastAsia="zh-CN"/>
              </w:rPr>
            </w:pPr>
            <w:r w:rsidRPr="00DB7372">
              <w:rPr>
                <w:rFonts w:ascii="Times New Roman" w:eastAsia="標楷體" w:hAnsi="Times New Roman" w:cs="Times New Roman"/>
                <w:sz w:val="28"/>
                <w:szCs w:val="28"/>
                <w:lang w:eastAsia="zh-CN"/>
              </w:rPr>
              <w:t xml:space="preserve">    </w:t>
            </w:r>
            <w:r w:rsidR="00413431" w:rsidRPr="00E35965">
              <w:rPr>
                <w:rFonts w:ascii="Times New Roman" w:eastAsia="標楷體" w:hAnsi="Times New Roman" w:cs="Times New Roman"/>
                <w:b/>
                <w:color w:val="0000FF"/>
                <w:sz w:val="28"/>
                <w:szCs w:val="28"/>
                <w:lang w:eastAsia="zh-CN"/>
              </w:rPr>
              <w:t>如此嚴峻的</w:t>
            </w:r>
            <w:r w:rsidR="00A560E9" w:rsidRPr="00E35965">
              <w:rPr>
                <w:rFonts w:ascii="Times New Roman" w:eastAsia="標楷體" w:hAnsi="Times New Roman" w:cs="Times New Roman"/>
                <w:b/>
                <w:color w:val="0000FF"/>
                <w:sz w:val="28"/>
                <w:szCs w:val="28"/>
                <w:lang w:eastAsia="zh-CN"/>
              </w:rPr>
              <w:t>走勢</w:t>
            </w:r>
            <w:r w:rsidR="00077C81" w:rsidRPr="00E35965">
              <w:rPr>
                <w:rFonts w:ascii="Times New Roman" w:eastAsia="標楷體" w:hAnsi="Times New Roman" w:cs="Times New Roman"/>
                <w:b/>
                <w:color w:val="0000FF"/>
                <w:sz w:val="28"/>
                <w:szCs w:val="28"/>
                <w:lang w:eastAsia="zh-CN"/>
              </w:rPr>
              <w:t>預期</w:t>
            </w:r>
            <w:r w:rsidR="00A560E9" w:rsidRPr="00E35965">
              <w:rPr>
                <w:rFonts w:ascii="Times New Roman" w:eastAsia="標楷體" w:hAnsi="Times New Roman" w:cs="Times New Roman"/>
                <w:b/>
                <w:color w:val="0000FF"/>
                <w:sz w:val="28"/>
                <w:szCs w:val="28"/>
                <w:lang w:eastAsia="zh-CN"/>
              </w:rPr>
              <w:t>，</w:t>
            </w:r>
            <w:r w:rsidR="007F6C05" w:rsidRPr="00E35965">
              <w:rPr>
                <w:rFonts w:ascii="Times New Roman" w:eastAsia="標楷體" w:hAnsi="Times New Roman" w:cs="Times New Roman"/>
                <w:b/>
                <w:color w:val="0000FF"/>
                <w:sz w:val="28"/>
                <w:szCs w:val="28"/>
                <w:lang w:eastAsia="zh-CN"/>
              </w:rPr>
              <w:t>從景氣循環學的理論與經驗</w:t>
            </w:r>
            <w:r w:rsidR="008F41F4" w:rsidRPr="00E35965">
              <w:rPr>
                <w:rFonts w:ascii="Times New Roman" w:eastAsia="標楷體" w:hAnsi="Times New Roman" w:cs="Times New Roman"/>
                <w:b/>
                <w:color w:val="0000FF"/>
                <w:sz w:val="28"/>
                <w:szCs w:val="28"/>
                <w:lang w:eastAsia="zh-CN"/>
              </w:rPr>
              <w:t>而言是有</w:t>
            </w:r>
            <w:r w:rsidR="00C502EC" w:rsidRPr="00E35965">
              <w:rPr>
                <w:rFonts w:ascii="Times New Roman" w:eastAsia="標楷體" w:hAnsi="Times New Roman" w:cs="Times New Roman"/>
                <w:b/>
                <w:color w:val="0000FF"/>
                <w:sz w:val="28"/>
                <w:szCs w:val="28"/>
                <w:lang w:eastAsia="zh-CN"/>
              </w:rPr>
              <w:t>符合常理</w:t>
            </w:r>
            <w:r w:rsidR="00DD43AA" w:rsidRPr="00E35965">
              <w:rPr>
                <w:rFonts w:ascii="Times New Roman" w:eastAsia="標楷體" w:hAnsi="Times New Roman" w:cs="Times New Roman"/>
                <w:b/>
                <w:color w:val="0000FF"/>
                <w:sz w:val="28"/>
                <w:szCs w:val="28"/>
                <w:lang w:eastAsia="zh-CN"/>
              </w:rPr>
              <w:t>與</w:t>
            </w:r>
            <w:r w:rsidR="004D4D62" w:rsidRPr="00E35965">
              <w:rPr>
                <w:rFonts w:ascii="Times New Roman" w:eastAsia="標楷體" w:hAnsi="Times New Roman" w:cs="Times New Roman"/>
                <w:b/>
                <w:color w:val="0000FF"/>
                <w:sz w:val="28"/>
                <w:szCs w:val="28"/>
                <w:lang w:eastAsia="zh-CN"/>
              </w:rPr>
              <w:t>異於常理之</w:t>
            </w:r>
            <w:r w:rsidR="00516BAA" w:rsidRPr="00E35965">
              <w:rPr>
                <w:rFonts w:ascii="Times New Roman" w:eastAsia="標楷體" w:hAnsi="Times New Roman" w:cs="Times New Roman"/>
                <w:b/>
                <w:color w:val="0000FF"/>
                <w:sz w:val="28"/>
                <w:szCs w:val="28"/>
                <w:lang w:eastAsia="zh-CN"/>
              </w:rPr>
              <w:t>處。</w:t>
            </w:r>
            <w:r w:rsidR="00E64DDE" w:rsidRPr="00E35965">
              <w:rPr>
                <w:rFonts w:ascii="Times New Roman" w:eastAsia="標楷體" w:hAnsi="Times New Roman" w:cs="Times New Roman"/>
                <w:b/>
                <w:color w:val="0000FF"/>
                <w:sz w:val="28"/>
                <w:szCs w:val="28"/>
                <w:lang w:eastAsia="zh-CN"/>
              </w:rPr>
              <w:t>先從常理而言，</w:t>
            </w:r>
            <w:r w:rsidR="00CF56BC" w:rsidRPr="00E35965">
              <w:rPr>
                <w:rFonts w:ascii="Times New Roman" w:eastAsia="標楷體" w:hAnsi="Times New Roman" w:cs="Times New Roman"/>
                <w:b/>
                <w:color w:val="0000FF"/>
                <w:sz w:val="28"/>
                <w:szCs w:val="28"/>
                <w:lang w:eastAsia="zh-CN"/>
              </w:rPr>
              <w:t>長時</w:t>
            </w:r>
            <w:r w:rsidR="00E64074" w:rsidRPr="00E35965">
              <w:rPr>
                <w:rFonts w:ascii="Times New Roman" w:eastAsia="標楷體" w:hAnsi="Times New Roman" w:cs="Times New Roman"/>
                <w:b/>
                <w:color w:val="0000FF"/>
                <w:sz w:val="28"/>
                <w:szCs w:val="28"/>
                <w:lang w:eastAsia="zh-CN"/>
              </w:rPr>
              <w:t>期</w:t>
            </w:r>
            <w:r w:rsidR="00CF56BC" w:rsidRPr="00E35965">
              <w:rPr>
                <w:rFonts w:ascii="Times New Roman" w:eastAsia="標楷體" w:hAnsi="Times New Roman" w:cs="Times New Roman"/>
                <w:b/>
                <w:color w:val="0000FF"/>
                <w:sz w:val="28"/>
                <w:szCs w:val="28"/>
                <w:lang w:eastAsia="zh-CN"/>
              </w:rPr>
              <w:t>快速</w:t>
            </w:r>
            <w:r w:rsidR="009F579C" w:rsidRPr="00E35965">
              <w:rPr>
                <w:rFonts w:ascii="Times New Roman" w:eastAsia="標楷體" w:hAnsi="Times New Roman" w:cs="Times New Roman"/>
                <w:b/>
                <w:color w:val="0000FF"/>
                <w:sz w:val="28"/>
                <w:szCs w:val="28"/>
                <w:lang w:eastAsia="zh-CN"/>
              </w:rPr>
              <w:t>又</w:t>
            </w:r>
            <w:r w:rsidR="00CF56BC" w:rsidRPr="00E35965">
              <w:rPr>
                <w:rFonts w:ascii="Times New Roman" w:eastAsia="標楷體" w:hAnsi="Times New Roman" w:cs="Times New Roman"/>
                <w:b/>
                <w:color w:val="0000FF"/>
                <w:sz w:val="28"/>
                <w:szCs w:val="28"/>
                <w:lang w:eastAsia="zh-CN"/>
              </w:rPr>
              <w:t>過熱的景氣</w:t>
            </w:r>
            <w:r w:rsidR="00DE331D" w:rsidRPr="00E35965">
              <w:rPr>
                <w:rFonts w:ascii="Times New Roman" w:eastAsia="標楷體" w:hAnsi="Times New Roman" w:cs="Times New Roman"/>
                <w:b/>
                <w:color w:val="0000FF"/>
                <w:sz w:val="28"/>
                <w:szCs w:val="28"/>
                <w:lang w:eastAsia="zh-CN"/>
              </w:rPr>
              <w:t>易</w:t>
            </w:r>
            <w:r w:rsidR="00C3122B" w:rsidRPr="00E35965">
              <w:rPr>
                <w:rFonts w:ascii="Times New Roman" w:eastAsia="標楷體" w:hAnsi="Times New Roman" w:cs="Times New Roman"/>
                <w:b/>
                <w:color w:val="0000FF"/>
                <w:sz w:val="28"/>
                <w:szCs w:val="28"/>
                <w:lang w:eastAsia="zh-CN"/>
              </w:rPr>
              <w:t>於</w:t>
            </w:r>
            <w:r w:rsidR="00DE331D" w:rsidRPr="00E35965">
              <w:rPr>
                <w:rFonts w:ascii="Times New Roman" w:eastAsia="標楷體" w:hAnsi="Times New Roman" w:cs="Times New Roman"/>
                <w:b/>
                <w:color w:val="0000FF"/>
                <w:sz w:val="28"/>
                <w:szCs w:val="28"/>
                <w:lang w:eastAsia="zh-CN"/>
              </w:rPr>
              <w:t>出現</w:t>
            </w:r>
            <w:r w:rsidR="009F579C" w:rsidRPr="00E35965">
              <w:rPr>
                <w:rFonts w:ascii="Times New Roman" w:eastAsia="標楷體" w:hAnsi="Times New Roman" w:cs="Times New Roman"/>
                <w:b/>
                <w:color w:val="0000FF"/>
                <w:sz w:val="28"/>
                <w:szCs w:val="28"/>
                <w:lang w:eastAsia="zh-CN"/>
              </w:rPr>
              <w:t>來得較突然</w:t>
            </w:r>
            <w:r w:rsidR="00E83BF6" w:rsidRPr="00E35965">
              <w:rPr>
                <w:rFonts w:ascii="Times New Roman" w:eastAsia="標楷體" w:hAnsi="Times New Roman" w:cs="Times New Roman"/>
                <w:b/>
                <w:color w:val="0000FF"/>
                <w:sz w:val="28"/>
                <w:szCs w:val="28"/>
                <w:lang w:eastAsia="zh-CN"/>
              </w:rPr>
              <w:t>且暴跌式</w:t>
            </w:r>
            <w:r w:rsidR="00E64074" w:rsidRPr="00E35965">
              <w:rPr>
                <w:rFonts w:ascii="Times New Roman" w:eastAsia="標楷體" w:hAnsi="Times New Roman" w:cs="Times New Roman"/>
                <w:b/>
                <w:color w:val="0000FF"/>
                <w:sz w:val="28"/>
                <w:szCs w:val="28"/>
                <w:lang w:eastAsia="zh-CN"/>
              </w:rPr>
              <w:t>的衰退</w:t>
            </w:r>
            <w:r w:rsidR="007D1F1F" w:rsidRPr="00E35965">
              <w:rPr>
                <w:rFonts w:ascii="Times New Roman" w:eastAsia="標楷體" w:hAnsi="Times New Roman" w:cs="Times New Roman"/>
                <w:b/>
                <w:color w:val="0000FF"/>
                <w:sz w:val="28"/>
                <w:szCs w:val="28"/>
                <w:lang w:eastAsia="zh-CN"/>
              </w:rPr>
              <w:t>，通常是</w:t>
            </w:r>
            <w:r w:rsidR="00E058EA" w:rsidRPr="00E35965">
              <w:rPr>
                <w:rFonts w:ascii="Times New Roman" w:eastAsia="標楷體" w:hAnsi="Times New Roman" w:cs="Times New Roman"/>
                <w:b/>
                <w:color w:val="0000FF"/>
                <w:sz w:val="28"/>
                <w:szCs w:val="28"/>
                <w:lang w:eastAsia="zh-CN"/>
              </w:rPr>
              <w:t>過度膨脹後的</w:t>
            </w:r>
            <w:r w:rsidR="00087E47" w:rsidRPr="00E35965">
              <w:rPr>
                <w:rFonts w:ascii="Times New Roman" w:eastAsia="標楷體" w:hAnsi="Times New Roman" w:cs="Times New Roman"/>
                <w:b/>
                <w:color w:val="0000FF"/>
                <w:sz w:val="28"/>
                <w:szCs w:val="28"/>
                <w:lang w:eastAsia="zh-CN"/>
              </w:rPr>
              <w:t>泡沫</w:t>
            </w:r>
            <w:r w:rsidR="00741E63" w:rsidRPr="00E35965">
              <w:rPr>
                <w:rFonts w:ascii="Times New Roman" w:eastAsia="標楷體" w:hAnsi="Times New Roman" w:cs="Times New Roman"/>
                <w:b/>
                <w:color w:val="0000FF"/>
                <w:sz w:val="28"/>
                <w:szCs w:val="28"/>
                <w:lang w:eastAsia="zh-CN"/>
              </w:rPr>
              <w:t>化</w:t>
            </w:r>
            <w:r w:rsidR="004B3A66" w:rsidRPr="00E35965">
              <w:rPr>
                <w:rFonts w:ascii="Times New Roman" w:eastAsia="標楷體" w:hAnsi="Times New Roman" w:cs="Times New Roman"/>
                <w:b/>
                <w:color w:val="0000FF"/>
                <w:sz w:val="28"/>
                <w:szCs w:val="28"/>
                <w:lang w:eastAsia="zh-CN"/>
              </w:rPr>
              <w:t>（</w:t>
            </w:r>
            <w:r w:rsidR="00792E9E" w:rsidRPr="00E35965">
              <w:rPr>
                <w:rFonts w:ascii="Times New Roman" w:eastAsia="標楷體" w:hAnsi="Times New Roman" w:cs="Times New Roman"/>
                <w:b/>
                <w:color w:val="0000FF"/>
                <w:sz w:val="28"/>
                <w:szCs w:val="28"/>
                <w:lang w:eastAsia="zh-CN"/>
              </w:rPr>
              <w:t>例如科技泡沫或</w:t>
            </w:r>
            <w:r w:rsidR="003F1B25" w:rsidRPr="00E35965">
              <w:rPr>
                <w:rFonts w:ascii="Times New Roman" w:eastAsia="標楷體" w:hAnsi="Times New Roman" w:cs="Times New Roman"/>
                <w:b/>
                <w:color w:val="0000FF"/>
                <w:sz w:val="28"/>
                <w:szCs w:val="28"/>
                <w:lang w:eastAsia="zh-CN"/>
              </w:rPr>
              <w:t>資產</w:t>
            </w:r>
            <w:r w:rsidR="001F7CDF" w:rsidRPr="00E35965">
              <w:rPr>
                <w:rFonts w:ascii="Times New Roman" w:eastAsia="標楷體" w:hAnsi="Times New Roman" w:cs="Times New Roman"/>
                <w:b/>
                <w:color w:val="0000FF"/>
                <w:sz w:val="28"/>
                <w:szCs w:val="28"/>
                <w:lang w:eastAsia="zh-CN"/>
              </w:rPr>
              <w:t>泡沫）</w:t>
            </w:r>
            <w:r w:rsidR="00B63574" w:rsidRPr="00E35965">
              <w:rPr>
                <w:rFonts w:ascii="Times New Roman" w:eastAsia="標楷體" w:hAnsi="Times New Roman" w:cs="Times New Roman"/>
                <w:b/>
                <w:color w:val="0000FF"/>
                <w:sz w:val="28"/>
                <w:szCs w:val="28"/>
                <w:lang w:eastAsia="zh-CN"/>
              </w:rPr>
              <w:t>危機現象。</w:t>
            </w:r>
            <w:r w:rsidR="00D0662D" w:rsidRPr="00E35965">
              <w:rPr>
                <w:rFonts w:ascii="Times New Roman" w:eastAsia="標楷體" w:hAnsi="Times New Roman" w:cs="Times New Roman"/>
                <w:b/>
                <w:color w:val="0000FF"/>
                <w:sz w:val="28"/>
                <w:szCs w:val="28"/>
                <w:lang w:eastAsia="zh-CN"/>
              </w:rPr>
              <w:t>而</w:t>
            </w:r>
            <w:r w:rsidR="00EB4429" w:rsidRPr="00E35965">
              <w:rPr>
                <w:rFonts w:ascii="Times New Roman" w:eastAsia="標楷體" w:hAnsi="Times New Roman" w:cs="Times New Roman"/>
                <w:b/>
                <w:color w:val="0000FF"/>
                <w:sz w:val="28"/>
                <w:szCs w:val="28"/>
                <w:lang w:eastAsia="zh-CN"/>
              </w:rPr>
              <w:t>一般</w:t>
            </w:r>
            <w:r w:rsidR="00851E88" w:rsidRPr="00E35965">
              <w:rPr>
                <w:rFonts w:ascii="Times New Roman" w:eastAsia="標楷體" w:hAnsi="Times New Roman" w:cs="Times New Roman"/>
                <w:b/>
                <w:color w:val="0000FF"/>
                <w:sz w:val="28"/>
                <w:szCs w:val="28"/>
                <w:lang w:eastAsia="zh-CN"/>
              </w:rPr>
              <w:t>溫和緩慢的</w:t>
            </w:r>
            <w:r w:rsidR="00DB7372" w:rsidRPr="00E35965">
              <w:rPr>
                <w:rFonts w:ascii="Times New Roman" w:eastAsia="標楷體" w:hAnsi="Times New Roman" w:cs="Times New Roman" w:hint="eastAsia"/>
                <w:b/>
                <w:color w:val="0000FF"/>
                <w:sz w:val="28"/>
                <w:szCs w:val="28"/>
                <w:lang w:eastAsia="zh-CN"/>
              </w:rPr>
              <w:t>復甦</w:t>
            </w:r>
            <w:r w:rsidR="004503FE" w:rsidRPr="00E35965">
              <w:rPr>
                <w:rFonts w:ascii="Times New Roman" w:eastAsia="標楷體" w:hAnsi="Times New Roman" w:cs="Times New Roman"/>
                <w:b/>
                <w:color w:val="0000FF"/>
                <w:sz w:val="28"/>
                <w:szCs w:val="28"/>
                <w:lang w:eastAsia="zh-CN"/>
              </w:rPr>
              <w:t>除非</w:t>
            </w:r>
            <w:r w:rsidR="00DB7372" w:rsidRPr="00E35965">
              <w:rPr>
                <w:rFonts w:ascii="Times New Roman" w:eastAsia="標楷體" w:hAnsi="Times New Roman" w:cs="Times New Roman" w:hint="eastAsia"/>
                <w:b/>
                <w:color w:val="0000FF"/>
                <w:sz w:val="28"/>
                <w:szCs w:val="28"/>
                <w:lang w:eastAsia="zh-CN"/>
              </w:rPr>
              <w:t>復甦</w:t>
            </w:r>
            <w:r w:rsidR="009D664B" w:rsidRPr="00E35965">
              <w:rPr>
                <w:rFonts w:ascii="Times New Roman" w:eastAsia="標楷體" w:hAnsi="Times New Roman" w:cs="Times New Roman"/>
                <w:b/>
                <w:color w:val="0000FF"/>
                <w:sz w:val="28"/>
                <w:szCs w:val="28"/>
                <w:lang w:eastAsia="zh-CN"/>
              </w:rPr>
              <w:t>時間特別長</w:t>
            </w:r>
            <w:r w:rsidR="006277C5" w:rsidRPr="00E35965">
              <w:rPr>
                <w:rFonts w:ascii="Times New Roman" w:eastAsia="標楷體" w:hAnsi="Times New Roman" w:cs="Times New Roman"/>
                <w:b/>
                <w:color w:val="0000FF"/>
                <w:sz w:val="28"/>
                <w:szCs w:val="28"/>
                <w:lang w:eastAsia="zh-CN"/>
              </w:rPr>
              <w:t>，則接著</w:t>
            </w:r>
            <w:r w:rsidR="00A9545F" w:rsidRPr="00E35965">
              <w:rPr>
                <w:rFonts w:ascii="Times New Roman" w:eastAsia="標楷體" w:hAnsi="Times New Roman" w:cs="Times New Roman"/>
                <w:b/>
                <w:color w:val="0000FF"/>
                <w:sz w:val="28"/>
                <w:szCs w:val="28"/>
                <w:lang w:eastAsia="zh-CN"/>
              </w:rPr>
              <w:t>若</w:t>
            </w:r>
            <w:r w:rsidR="006277C5" w:rsidRPr="00E35965">
              <w:rPr>
                <w:rFonts w:ascii="Times New Roman" w:eastAsia="標楷體" w:hAnsi="Times New Roman" w:cs="Times New Roman"/>
                <w:b/>
                <w:color w:val="0000FF"/>
                <w:sz w:val="28"/>
                <w:szCs w:val="28"/>
                <w:lang w:eastAsia="zh-CN"/>
              </w:rPr>
              <w:t>衰退應是</w:t>
            </w:r>
            <w:r w:rsidR="004503FE" w:rsidRPr="00E35965">
              <w:rPr>
                <w:rFonts w:ascii="Times New Roman" w:eastAsia="標楷體" w:hAnsi="Times New Roman" w:cs="Times New Roman"/>
                <w:b/>
                <w:color w:val="0000FF"/>
                <w:sz w:val="28"/>
                <w:szCs w:val="28"/>
                <w:lang w:eastAsia="zh-CN"/>
              </w:rPr>
              <w:t>較</w:t>
            </w:r>
            <w:r w:rsidR="00DB332B" w:rsidRPr="00E35965">
              <w:rPr>
                <w:rFonts w:ascii="Times New Roman" w:eastAsia="標楷體" w:hAnsi="Times New Roman" w:cs="Times New Roman"/>
                <w:b/>
                <w:color w:val="0000FF"/>
                <w:sz w:val="28"/>
                <w:szCs w:val="28"/>
                <w:lang w:eastAsia="zh-CN"/>
              </w:rPr>
              <w:t>溫和的</w:t>
            </w:r>
            <w:r w:rsidR="00F3056C" w:rsidRPr="00E35965">
              <w:rPr>
                <w:rFonts w:ascii="Times New Roman" w:eastAsia="標楷體" w:hAnsi="Times New Roman" w:cs="Times New Roman"/>
                <w:b/>
                <w:color w:val="0000FF"/>
                <w:sz w:val="28"/>
                <w:szCs w:val="28"/>
                <w:lang w:eastAsia="zh-CN"/>
              </w:rPr>
              <w:t>，顯然</w:t>
            </w:r>
            <w:r w:rsidR="00C70B12" w:rsidRPr="00E35965">
              <w:rPr>
                <w:rFonts w:ascii="Times New Roman" w:eastAsia="標楷體" w:hAnsi="Times New Roman" w:cs="Times New Roman"/>
                <w:b/>
                <w:color w:val="0000FF"/>
                <w:sz w:val="28"/>
                <w:szCs w:val="28"/>
                <w:lang w:eastAsia="zh-CN"/>
              </w:rPr>
              <w:t>非</w:t>
            </w:r>
            <w:r w:rsidR="00F3056C" w:rsidRPr="00E35965">
              <w:rPr>
                <w:rFonts w:ascii="Times New Roman" w:eastAsia="標楷體" w:hAnsi="Times New Roman" w:cs="Times New Roman"/>
                <w:b/>
                <w:color w:val="0000FF"/>
                <w:sz w:val="28"/>
                <w:szCs w:val="28"/>
                <w:lang w:eastAsia="zh-CN"/>
              </w:rPr>
              <w:t>此次</w:t>
            </w:r>
            <w:r w:rsidR="00DB7372" w:rsidRPr="00E35965">
              <w:rPr>
                <w:rFonts w:ascii="Times New Roman" w:eastAsia="標楷體" w:hAnsi="Times New Roman" w:cs="Times New Roman" w:hint="eastAsia"/>
                <w:b/>
                <w:color w:val="0000FF"/>
                <w:sz w:val="28"/>
                <w:szCs w:val="28"/>
                <w:lang w:eastAsia="zh-CN"/>
              </w:rPr>
              <w:t>復甦</w:t>
            </w:r>
            <w:r w:rsidR="00D134DC" w:rsidRPr="00E35965">
              <w:rPr>
                <w:rFonts w:ascii="Times New Roman" w:eastAsia="標楷體" w:hAnsi="Times New Roman" w:cs="Times New Roman"/>
                <w:b/>
                <w:color w:val="0000FF"/>
                <w:sz w:val="28"/>
                <w:szCs w:val="28"/>
                <w:lang w:eastAsia="zh-CN"/>
              </w:rPr>
              <w:t>的狀況</w:t>
            </w:r>
            <w:r w:rsidR="00E77CEB" w:rsidRPr="00E35965">
              <w:rPr>
                <w:rFonts w:ascii="Times New Roman" w:eastAsia="標楷體" w:hAnsi="Times New Roman" w:cs="Times New Roman"/>
                <w:b/>
                <w:color w:val="0000FF"/>
                <w:sz w:val="28"/>
                <w:szCs w:val="28"/>
                <w:lang w:eastAsia="zh-CN"/>
              </w:rPr>
              <w:t>。</w:t>
            </w:r>
            <w:r w:rsidR="00893B37" w:rsidRPr="00E35965">
              <w:rPr>
                <w:rFonts w:ascii="Times New Roman" w:eastAsia="標楷體" w:hAnsi="Times New Roman" w:cs="Times New Roman"/>
                <w:b/>
                <w:color w:val="0000FF"/>
                <w:sz w:val="28"/>
                <w:szCs w:val="28"/>
                <w:lang w:eastAsia="zh-CN"/>
              </w:rPr>
              <w:t>但</w:t>
            </w:r>
            <w:r w:rsidR="006A6A15" w:rsidRPr="00E35965">
              <w:rPr>
                <w:rFonts w:ascii="Times New Roman" w:eastAsia="標楷體" w:hAnsi="Times New Roman" w:cs="Times New Roman"/>
                <w:b/>
                <w:color w:val="0000FF"/>
                <w:sz w:val="28"/>
                <w:szCs w:val="28"/>
                <w:lang w:eastAsia="zh-CN"/>
              </w:rPr>
              <w:t>另從景氣循環</w:t>
            </w:r>
            <w:r w:rsidR="006B2AA2" w:rsidRPr="00E35965">
              <w:rPr>
                <w:rFonts w:ascii="Times New Roman" w:eastAsia="標楷體" w:hAnsi="Times New Roman" w:cs="Times New Roman"/>
                <w:b/>
                <w:color w:val="0000FF"/>
                <w:sz w:val="28"/>
                <w:szCs w:val="28"/>
                <w:lang w:eastAsia="zh-CN"/>
              </w:rPr>
              <w:t>結構</w:t>
            </w:r>
            <w:r w:rsidR="00B11A1A" w:rsidRPr="00E35965">
              <w:rPr>
                <w:rFonts w:ascii="Times New Roman" w:eastAsia="標楷體" w:hAnsi="Times New Roman" w:cs="Times New Roman"/>
                <w:b/>
                <w:color w:val="0000FF"/>
                <w:sz w:val="28"/>
                <w:szCs w:val="28"/>
                <w:lang w:eastAsia="zh-CN"/>
              </w:rPr>
              <w:t>而言，短期的</w:t>
            </w:r>
            <w:r w:rsidR="006E263D" w:rsidRPr="00E35965">
              <w:rPr>
                <w:rFonts w:ascii="Times New Roman" w:eastAsia="標楷體" w:hAnsi="Times New Roman" w:cs="Times New Roman"/>
                <w:b/>
                <w:color w:val="0000FF"/>
                <w:sz w:val="28"/>
                <w:szCs w:val="28"/>
                <w:lang w:eastAsia="zh-CN"/>
              </w:rPr>
              <w:t>「商業循環」</w:t>
            </w:r>
            <w:r w:rsidR="0086769B" w:rsidRPr="00E35965">
              <w:rPr>
                <w:rFonts w:ascii="Times New Roman" w:eastAsia="標楷體" w:hAnsi="Times New Roman" w:cs="Times New Roman"/>
                <w:b/>
                <w:color w:val="0000FF"/>
                <w:sz w:val="28"/>
                <w:szCs w:val="28"/>
                <w:lang w:eastAsia="zh-CN"/>
              </w:rPr>
              <w:t>(</w:t>
            </w:r>
            <w:r w:rsidR="000F609B" w:rsidRPr="00E35965">
              <w:rPr>
                <w:rFonts w:ascii="Times New Roman" w:eastAsia="標楷體" w:hAnsi="Times New Roman" w:cs="Times New Roman"/>
                <w:b/>
                <w:color w:val="0000FF"/>
                <w:sz w:val="28"/>
                <w:szCs w:val="28"/>
                <w:lang w:eastAsia="zh-CN"/>
              </w:rPr>
              <w:t>小循環</w:t>
            </w:r>
            <w:r w:rsidR="000F609B" w:rsidRPr="00E35965">
              <w:rPr>
                <w:rFonts w:ascii="Times New Roman" w:eastAsia="標楷體" w:hAnsi="Times New Roman" w:cs="Times New Roman"/>
                <w:b/>
                <w:color w:val="0000FF"/>
                <w:sz w:val="28"/>
                <w:szCs w:val="28"/>
                <w:lang w:eastAsia="zh-CN"/>
              </w:rPr>
              <w:t>)</w:t>
            </w:r>
            <w:r w:rsidR="006E263D" w:rsidRPr="00E35965">
              <w:rPr>
                <w:rFonts w:ascii="Times New Roman" w:eastAsia="標楷體" w:hAnsi="Times New Roman" w:cs="Times New Roman"/>
                <w:b/>
                <w:color w:val="0000FF"/>
                <w:sz w:val="28"/>
                <w:szCs w:val="28"/>
                <w:lang w:eastAsia="zh-CN"/>
              </w:rPr>
              <w:t>若與</w:t>
            </w:r>
            <w:r w:rsidR="007D6512" w:rsidRPr="00E35965">
              <w:rPr>
                <w:rFonts w:ascii="Times New Roman" w:eastAsia="標楷體" w:hAnsi="Times New Roman" w:cs="Times New Roman"/>
                <w:b/>
                <w:color w:val="0000FF"/>
                <w:sz w:val="28"/>
                <w:szCs w:val="28"/>
                <w:lang w:eastAsia="zh-CN"/>
              </w:rPr>
              <w:t>其他周期為長的景氣循環</w:t>
            </w:r>
            <w:r w:rsidR="004E7845" w:rsidRPr="00E35965">
              <w:rPr>
                <w:rFonts w:ascii="Times New Roman" w:eastAsia="標楷體" w:hAnsi="Times New Roman" w:cs="Times New Roman"/>
                <w:b/>
                <w:color w:val="0000FF"/>
                <w:sz w:val="28"/>
                <w:szCs w:val="28"/>
                <w:lang w:eastAsia="zh-CN"/>
              </w:rPr>
              <w:t>衰退期</w:t>
            </w:r>
            <w:r w:rsidR="0012138F" w:rsidRPr="00E35965">
              <w:rPr>
                <w:rFonts w:ascii="Times New Roman" w:eastAsia="標楷體" w:hAnsi="Times New Roman" w:cs="Times New Roman"/>
                <w:b/>
                <w:color w:val="0000FF"/>
                <w:sz w:val="28"/>
                <w:szCs w:val="28"/>
                <w:lang w:eastAsia="zh-CN"/>
              </w:rPr>
              <w:t>遇在一</w:t>
            </w:r>
            <w:r w:rsidR="00945555" w:rsidRPr="00E35965">
              <w:rPr>
                <w:rFonts w:ascii="Times New Roman" w:eastAsia="標楷體" w:hAnsi="Times New Roman" w:cs="Times New Roman"/>
                <w:b/>
                <w:color w:val="0000FF"/>
                <w:sz w:val="28"/>
                <w:szCs w:val="28"/>
                <w:lang w:eastAsia="zh-CN"/>
              </w:rPr>
              <w:t>起，例如</w:t>
            </w:r>
            <w:r w:rsidR="000F609B" w:rsidRPr="00E35965">
              <w:rPr>
                <w:rFonts w:ascii="Times New Roman" w:eastAsia="標楷體" w:hAnsi="Times New Roman" w:cs="Times New Roman"/>
                <w:b/>
                <w:color w:val="0000FF"/>
                <w:sz w:val="28"/>
                <w:szCs w:val="28"/>
                <w:lang w:eastAsia="zh-CN"/>
              </w:rPr>
              <w:t>「固定投資</w:t>
            </w:r>
            <w:r w:rsidR="00C9743E" w:rsidRPr="00E35965">
              <w:rPr>
                <w:rFonts w:ascii="Times New Roman" w:eastAsia="標楷體" w:hAnsi="Times New Roman" w:cs="Times New Roman"/>
                <w:b/>
                <w:color w:val="0000FF"/>
                <w:sz w:val="28"/>
                <w:szCs w:val="28"/>
                <w:lang w:eastAsia="zh-CN"/>
              </w:rPr>
              <w:t>循環」，</w:t>
            </w:r>
            <w:r w:rsidR="00945555" w:rsidRPr="00E35965">
              <w:rPr>
                <w:rFonts w:ascii="Times New Roman" w:eastAsia="標楷體" w:hAnsi="Times New Roman" w:cs="Times New Roman"/>
                <w:b/>
                <w:color w:val="0000FF"/>
                <w:sz w:val="28"/>
                <w:szCs w:val="28"/>
                <w:lang w:eastAsia="zh-CN"/>
              </w:rPr>
              <w:t>「建築循環」</w:t>
            </w:r>
            <w:r w:rsidR="00D7006D" w:rsidRPr="00E35965">
              <w:rPr>
                <w:rFonts w:ascii="Times New Roman" w:eastAsia="標楷體" w:hAnsi="Times New Roman" w:cs="Times New Roman"/>
                <w:b/>
                <w:color w:val="0000FF"/>
                <w:sz w:val="28"/>
                <w:szCs w:val="28"/>
                <w:lang w:eastAsia="zh-CN"/>
              </w:rPr>
              <w:t>，</w:t>
            </w:r>
            <w:r w:rsidR="00DA5A6E" w:rsidRPr="00E35965">
              <w:rPr>
                <w:rFonts w:ascii="Times New Roman" w:eastAsia="標楷體" w:hAnsi="Times New Roman" w:cs="Times New Roman"/>
                <w:b/>
                <w:color w:val="0000FF"/>
                <w:sz w:val="28"/>
                <w:szCs w:val="28"/>
                <w:lang w:eastAsia="zh-CN"/>
              </w:rPr>
              <w:t>「基礎建設循</w:t>
            </w:r>
            <w:r w:rsidR="00DA5A6E" w:rsidRPr="00E35965">
              <w:rPr>
                <w:rFonts w:ascii="Times New Roman" w:eastAsia="標楷體" w:hAnsi="Times New Roman" w:cs="Times New Roman"/>
                <w:b/>
                <w:color w:val="0000FF"/>
                <w:sz w:val="28"/>
                <w:szCs w:val="28"/>
                <w:lang w:eastAsia="zh-CN"/>
              </w:rPr>
              <w:lastRenderedPageBreak/>
              <w:t>環」，</w:t>
            </w:r>
            <w:r w:rsidR="003C2464" w:rsidRPr="00E35965">
              <w:rPr>
                <w:rFonts w:ascii="Times New Roman" w:eastAsia="標楷體" w:hAnsi="Times New Roman" w:cs="Times New Roman"/>
                <w:b/>
                <w:color w:val="0000FF"/>
                <w:sz w:val="28"/>
                <w:szCs w:val="28"/>
                <w:lang w:eastAsia="zh-CN"/>
              </w:rPr>
              <w:t>及</w:t>
            </w:r>
            <w:r w:rsidR="000015FA" w:rsidRPr="00E35965">
              <w:rPr>
                <w:rFonts w:ascii="Times New Roman" w:eastAsia="標楷體" w:hAnsi="Times New Roman" w:cs="Times New Roman"/>
                <w:b/>
                <w:color w:val="0000FF"/>
                <w:sz w:val="28"/>
                <w:szCs w:val="28"/>
                <w:lang w:eastAsia="zh-CN"/>
              </w:rPr>
              <w:t>產業或制度革命有關的「</w:t>
            </w:r>
            <w:r w:rsidR="000015FA" w:rsidRPr="00E35965">
              <w:rPr>
                <w:rFonts w:ascii="Times New Roman" w:eastAsia="標楷體" w:hAnsi="Times New Roman" w:cs="Times New Roman"/>
                <w:b/>
                <w:color w:val="0000FF"/>
                <w:sz w:val="28"/>
                <w:szCs w:val="28"/>
                <w:lang w:eastAsia="zh-CN"/>
              </w:rPr>
              <w:t>50</w:t>
            </w:r>
            <w:r w:rsidR="000015FA" w:rsidRPr="00E35965">
              <w:rPr>
                <w:rFonts w:ascii="Times New Roman" w:eastAsia="標楷體" w:hAnsi="Times New Roman" w:cs="Times New Roman"/>
                <w:b/>
                <w:color w:val="0000FF"/>
                <w:sz w:val="28"/>
                <w:szCs w:val="28"/>
                <w:lang w:eastAsia="zh-CN"/>
              </w:rPr>
              <w:t>年循環」</w:t>
            </w:r>
            <w:r w:rsidR="00B8761B" w:rsidRPr="00E35965">
              <w:rPr>
                <w:rFonts w:ascii="Times New Roman" w:eastAsia="標楷體" w:hAnsi="Times New Roman" w:cs="Times New Roman"/>
                <w:b/>
                <w:color w:val="0000FF"/>
                <w:sz w:val="28"/>
                <w:szCs w:val="28"/>
                <w:lang w:eastAsia="zh-CN"/>
              </w:rPr>
              <w:t>，</w:t>
            </w:r>
            <w:r w:rsidR="00BB567C" w:rsidRPr="00E35965">
              <w:rPr>
                <w:rFonts w:ascii="Times New Roman" w:eastAsia="標楷體" w:hAnsi="Times New Roman" w:cs="Times New Roman"/>
                <w:b/>
                <w:color w:val="0000FF"/>
                <w:sz w:val="28"/>
                <w:szCs w:val="28"/>
                <w:lang w:eastAsia="zh-CN"/>
              </w:rPr>
              <w:t>則會</w:t>
            </w:r>
            <w:r w:rsidR="00AB6F13" w:rsidRPr="00E35965">
              <w:rPr>
                <w:rFonts w:ascii="Times New Roman" w:eastAsia="標楷體" w:hAnsi="Times New Roman" w:cs="Times New Roman"/>
                <w:b/>
                <w:color w:val="0000FF"/>
                <w:sz w:val="28"/>
                <w:szCs w:val="28"/>
                <w:lang w:eastAsia="zh-CN"/>
              </w:rPr>
              <w:t>出現</w:t>
            </w:r>
            <w:r w:rsidR="00DB7372" w:rsidRPr="00E35965">
              <w:rPr>
                <w:rFonts w:ascii="Times New Roman" w:eastAsia="標楷體" w:hAnsi="Times New Roman" w:cs="Times New Roman" w:hint="eastAsia"/>
                <w:b/>
                <w:color w:val="0000FF"/>
                <w:sz w:val="28"/>
                <w:szCs w:val="28"/>
                <w:lang w:eastAsia="zh-CN"/>
              </w:rPr>
              <w:t>復甦</w:t>
            </w:r>
            <w:r w:rsidR="00C42808" w:rsidRPr="00E35965">
              <w:rPr>
                <w:rFonts w:ascii="Times New Roman" w:eastAsia="標楷體" w:hAnsi="Times New Roman" w:cs="Times New Roman"/>
                <w:b/>
                <w:color w:val="0000FF"/>
                <w:sz w:val="28"/>
                <w:szCs w:val="28"/>
                <w:lang w:eastAsia="zh-CN"/>
              </w:rPr>
              <w:t>爬升</w:t>
            </w:r>
            <w:r w:rsidR="00A63E00" w:rsidRPr="00E35965">
              <w:rPr>
                <w:rFonts w:ascii="Times New Roman" w:eastAsia="標楷體" w:hAnsi="Times New Roman" w:cs="Times New Roman"/>
                <w:b/>
                <w:color w:val="0000FF"/>
                <w:sz w:val="28"/>
                <w:szCs w:val="28"/>
                <w:lang w:eastAsia="zh-CN"/>
              </w:rPr>
              <w:t>無</w:t>
            </w:r>
            <w:r w:rsidR="00FE0F91" w:rsidRPr="00E35965">
              <w:rPr>
                <w:rFonts w:ascii="Times New Roman" w:eastAsia="標楷體" w:hAnsi="Times New Roman" w:cs="Times New Roman"/>
                <w:b/>
                <w:color w:val="0000FF"/>
                <w:sz w:val="28"/>
                <w:szCs w:val="28"/>
                <w:lang w:eastAsia="zh-CN"/>
              </w:rPr>
              <w:t>力</w:t>
            </w:r>
            <w:r w:rsidR="00C42808" w:rsidRPr="00E35965">
              <w:rPr>
                <w:rFonts w:ascii="Times New Roman" w:eastAsia="標楷體" w:hAnsi="Times New Roman" w:cs="Times New Roman"/>
                <w:b/>
                <w:color w:val="0000FF"/>
                <w:sz w:val="28"/>
                <w:szCs w:val="28"/>
                <w:lang w:eastAsia="zh-CN"/>
              </w:rPr>
              <w:t>轉降</w:t>
            </w:r>
            <w:r w:rsidR="00720BA4" w:rsidRPr="00E35965">
              <w:rPr>
                <w:rFonts w:ascii="Times New Roman" w:eastAsia="標楷體" w:hAnsi="Times New Roman" w:cs="Times New Roman"/>
                <w:b/>
                <w:color w:val="0000FF"/>
                <w:sz w:val="28"/>
                <w:szCs w:val="28"/>
                <w:lang w:eastAsia="zh-CN"/>
              </w:rPr>
              <w:t>急速</w:t>
            </w:r>
            <w:r w:rsidR="002E369B" w:rsidRPr="00E35965">
              <w:rPr>
                <w:rFonts w:ascii="Times New Roman" w:eastAsia="標楷體" w:hAnsi="Times New Roman" w:cs="Times New Roman"/>
                <w:b/>
                <w:color w:val="0000FF"/>
                <w:sz w:val="28"/>
                <w:szCs w:val="28"/>
                <w:lang w:eastAsia="zh-CN"/>
              </w:rPr>
              <w:t>的衰退</w:t>
            </w:r>
            <w:r w:rsidR="00E8607C" w:rsidRPr="00E35965">
              <w:rPr>
                <w:rFonts w:ascii="Times New Roman" w:eastAsia="標楷體" w:hAnsi="Times New Roman" w:cs="Times New Roman"/>
                <w:b/>
                <w:color w:val="0000FF"/>
                <w:sz w:val="28"/>
                <w:szCs w:val="28"/>
                <w:lang w:eastAsia="zh-CN"/>
              </w:rPr>
              <w:t>。</w:t>
            </w:r>
            <w:r w:rsidR="00305462" w:rsidRPr="00E35965">
              <w:rPr>
                <w:rFonts w:ascii="Times New Roman" w:eastAsia="標楷體" w:hAnsi="Times New Roman" w:cs="Times New Roman"/>
                <w:b/>
                <w:color w:val="0000FF"/>
                <w:sz w:val="28"/>
                <w:szCs w:val="28"/>
                <w:lang w:eastAsia="zh-CN"/>
              </w:rPr>
              <w:t>簡言之，短波循環</w:t>
            </w:r>
            <w:r w:rsidR="00FC2DEA" w:rsidRPr="00E35965">
              <w:rPr>
                <w:rFonts w:ascii="Times New Roman" w:eastAsia="標楷體" w:hAnsi="Times New Roman" w:cs="Times New Roman"/>
                <w:b/>
                <w:color w:val="0000FF"/>
                <w:sz w:val="28"/>
                <w:szCs w:val="28"/>
                <w:lang w:eastAsia="zh-CN"/>
              </w:rPr>
              <w:t>若處於長波循環的</w:t>
            </w:r>
            <w:r w:rsidR="00AD5BEF" w:rsidRPr="00E35965">
              <w:rPr>
                <w:rFonts w:ascii="Times New Roman" w:eastAsia="標楷體" w:hAnsi="Times New Roman" w:cs="Times New Roman"/>
                <w:b/>
                <w:color w:val="0000FF"/>
                <w:sz w:val="28"/>
                <w:szCs w:val="28"/>
                <w:lang w:eastAsia="zh-CN"/>
              </w:rPr>
              <w:t>「下降期」，則短</w:t>
            </w:r>
            <w:r w:rsidR="005B2096" w:rsidRPr="00E35965">
              <w:rPr>
                <w:rFonts w:ascii="Times New Roman" w:eastAsia="標楷體" w:hAnsi="Times New Roman" w:cs="Times New Roman"/>
                <w:b/>
                <w:color w:val="0000FF"/>
                <w:sz w:val="28"/>
                <w:szCs w:val="28"/>
                <w:lang w:eastAsia="zh-CN"/>
              </w:rPr>
              <w:t>波</w:t>
            </w:r>
            <w:r w:rsidR="00AD5BEF" w:rsidRPr="00E35965">
              <w:rPr>
                <w:rFonts w:ascii="Times New Roman" w:eastAsia="標楷體" w:hAnsi="Times New Roman" w:cs="Times New Roman"/>
                <w:b/>
                <w:color w:val="0000FF"/>
                <w:sz w:val="28"/>
                <w:szCs w:val="28"/>
                <w:lang w:eastAsia="zh-CN"/>
              </w:rPr>
              <w:t>循環的</w:t>
            </w:r>
            <w:r w:rsidR="00DB7372" w:rsidRPr="00E35965">
              <w:rPr>
                <w:rFonts w:ascii="Times New Roman" w:eastAsia="標楷體" w:hAnsi="Times New Roman" w:cs="Times New Roman" w:hint="eastAsia"/>
                <w:b/>
                <w:color w:val="0000FF"/>
                <w:sz w:val="28"/>
                <w:szCs w:val="28"/>
                <w:lang w:eastAsia="zh-CN"/>
              </w:rPr>
              <w:t>復甦</w:t>
            </w:r>
            <w:r w:rsidR="009A3938" w:rsidRPr="00E35965">
              <w:rPr>
                <w:rFonts w:ascii="Times New Roman" w:eastAsia="標楷體" w:hAnsi="Times New Roman" w:cs="Times New Roman"/>
                <w:b/>
                <w:color w:val="0000FF"/>
                <w:sz w:val="28"/>
                <w:szCs w:val="28"/>
                <w:lang w:eastAsia="zh-CN"/>
              </w:rPr>
              <w:t>期會較自己過去的</w:t>
            </w:r>
            <w:r w:rsidR="00DB7372" w:rsidRPr="00E35965">
              <w:rPr>
                <w:rFonts w:ascii="Times New Roman" w:eastAsia="標楷體" w:hAnsi="Times New Roman" w:cs="Times New Roman" w:hint="eastAsia"/>
                <w:b/>
                <w:color w:val="0000FF"/>
                <w:sz w:val="28"/>
                <w:szCs w:val="28"/>
                <w:lang w:eastAsia="zh-CN"/>
              </w:rPr>
              <w:t>復甦</w:t>
            </w:r>
            <w:r w:rsidR="009A3938" w:rsidRPr="00E35965">
              <w:rPr>
                <w:rFonts w:ascii="Times New Roman" w:eastAsia="標楷體" w:hAnsi="Times New Roman" w:cs="Times New Roman"/>
                <w:b/>
                <w:color w:val="0000FF"/>
                <w:sz w:val="28"/>
                <w:szCs w:val="28"/>
                <w:lang w:eastAsia="zh-CN"/>
              </w:rPr>
              <w:t>期來</w:t>
            </w:r>
            <w:r w:rsidR="005B2096" w:rsidRPr="00E35965">
              <w:rPr>
                <w:rFonts w:ascii="Times New Roman" w:eastAsia="標楷體" w:hAnsi="Times New Roman" w:cs="Times New Roman"/>
                <w:b/>
                <w:color w:val="0000FF"/>
                <w:sz w:val="28"/>
                <w:szCs w:val="28"/>
                <w:lang w:eastAsia="zh-CN"/>
              </w:rPr>
              <w:t>得短</w:t>
            </w:r>
            <w:r w:rsidR="00BD10E9" w:rsidRPr="00E35965">
              <w:rPr>
                <w:rFonts w:ascii="Times New Roman" w:eastAsia="標楷體" w:hAnsi="Times New Roman" w:cs="Times New Roman"/>
                <w:b/>
                <w:color w:val="0000FF"/>
                <w:sz w:val="28"/>
                <w:szCs w:val="28"/>
                <w:lang w:eastAsia="zh-CN"/>
              </w:rPr>
              <w:t>且</w:t>
            </w:r>
            <w:r w:rsidR="005B2096" w:rsidRPr="00E35965">
              <w:rPr>
                <w:rFonts w:ascii="Times New Roman" w:eastAsia="標楷體" w:hAnsi="Times New Roman" w:cs="Times New Roman"/>
                <w:b/>
                <w:color w:val="0000FF"/>
                <w:sz w:val="28"/>
                <w:szCs w:val="28"/>
                <w:lang w:eastAsia="zh-CN"/>
              </w:rPr>
              <w:t>弱，但</w:t>
            </w:r>
            <w:r w:rsidR="00BD10E9" w:rsidRPr="00E35965">
              <w:rPr>
                <w:rFonts w:ascii="Times New Roman" w:eastAsia="標楷體" w:hAnsi="Times New Roman" w:cs="Times New Roman"/>
                <w:b/>
                <w:color w:val="0000FF"/>
                <w:sz w:val="28"/>
                <w:szCs w:val="28"/>
                <w:lang w:eastAsia="zh-CN"/>
              </w:rPr>
              <w:t>衰退期就會</w:t>
            </w:r>
            <w:r w:rsidR="00ED3034" w:rsidRPr="00E35965">
              <w:rPr>
                <w:rFonts w:ascii="Times New Roman" w:eastAsia="標楷體" w:hAnsi="Times New Roman" w:cs="Times New Roman"/>
                <w:b/>
                <w:color w:val="0000FF"/>
                <w:sz w:val="28"/>
                <w:szCs w:val="28"/>
                <w:lang w:eastAsia="zh-CN"/>
              </w:rPr>
              <w:t>比自己過去的衰退期來得</w:t>
            </w:r>
            <w:r w:rsidR="00ED0D9B" w:rsidRPr="00E35965">
              <w:rPr>
                <w:rFonts w:ascii="Times New Roman" w:eastAsia="標楷體" w:hAnsi="Times New Roman" w:cs="Times New Roman"/>
                <w:b/>
                <w:color w:val="0000FF"/>
                <w:sz w:val="28"/>
                <w:szCs w:val="28"/>
                <w:lang w:eastAsia="zh-CN"/>
              </w:rPr>
              <w:t>長且劇。</w:t>
            </w:r>
            <w:r w:rsidR="004D73FA" w:rsidRPr="00E35965">
              <w:rPr>
                <w:rFonts w:ascii="Times New Roman" w:eastAsia="標楷體" w:hAnsi="Times New Roman" w:cs="Times New Roman"/>
                <w:b/>
                <w:color w:val="0000FF"/>
                <w:sz w:val="28"/>
                <w:szCs w:val="28"/>
                <w:lang w:eastAsia="zh-CN"/>
              </w:rPr>
              <w:t>這是</w:t>
            </w:r>
            <w:r w:rsidR="0073666E" w:rsidRPr="00E35965">
              <w:rPr>
                <w:rFonts w:ascii="Times New Roman" w:eastAsia="標楷體" w:hAnsi="Times New Roman" w:cs="Times New Roman"/>
                <w:b/>
                <w:color w:val="0000FF"/>
                <w:sz w:val="28"/>
                <w:szCs w:val="28"/>
                <w:lang w:eastAsia="zh-CN"/>
              </w:rPr>
              <w:t>值得另作深入研究的</w:t>
            </w:r>
            <w:r w:rsidR="00760CBA" w:rsidRPr="00E35965">
              <w:rPr>
                <w:rFonts w:ascii="Times New Roman" w:eastAsia="標楷體" w:hAnsi="Times New Roman" w:cs="Times New Roman"/>
                <w:b/>
                <w:color w:val="0000FF"/>
                <w:sz w:val="28"/>
                <w:szCs w:val="28"/>
                <w:lang w:eastAsia="zh-CN"/>
              </w:rPr>
              <w:t>議題</w:t>
            </w:r>
            <w:r w:rsidR="00BE3417" w:rsidRPr="00E35965">
              <w:rPr>
                <w:rFonts w:ascii="Times New Roman" w:eastAsia="標楷體" w:hAnsi="Times New Roman" w:cs="Times New Roman"/>
                <w:b/>
                <w:color w:val="0000FF"/>
                <w:sz w:val="28"/>
                <w:szCs w:val="28"/>
                <w:lang w:eastAsia="zh-CN"/>
              </w:rPr>
              <w:t>。</w:t>
            </w:r>
            <w:r w:rsidR="00474FEC" w:rsidRPr="00E35965">
              <w:rPr>
                <w:rFonts w:ascii="Times New Roman" w:eastAsia="標楷體" w:hAnsi="Times New Roman" w:cs="Times New Roman"/>
                <w:b/>
                <w:color w:val="0000FF"/>
                <w:sz w:val="28"/>
                <w:szCs w:val="28"/>
                <w:lang w:eastAsia="zh-CN"/>
              </w:rPr>
              <w:t>就</w:t>
            </w:r>
            <w:r w:rsidR="00D9069B" w:rsidRPr="00E35965">
              <w:rPr>
                <w:rFonts w:ascii="Times New Roman" w:eastAsia="標楷體" w:hAnsi="Times New Roman" w:cs="Times New Roman"/>
                <w:b/>
                <w:color w:val="0000FF"/>
                <w:sz w:val="28"/>
                <w:szCs w:val="28"/>
                <w:lang w:eastAsia="zh-CN"/>
              </w:rPr>
              <w:t>世界景氣</w:t>
            </w:r>
            <w:r w:rsidR="00474FEC" w:rsidRPr="00E35965">
              <w:rPr>
                <w:rFonts w:ascii="Times New Roman" w:eastAsia="標楷體" w:hAnsi="Times New Roman" w:cs="Times New Roman"/>
                <w:b/>
                <w:color w:val="0000FF"/>
                <w:sz w:val="28"/>
                <w:szCs w:val="28"/>
                <w:lang w:eastAsia="zh-CN"/>
              </w:rPr>
              <w:t>「</w:t>
            </w:r>
            <w:r w:rsidR="00474FEC" w:rsidRPr="00E35965">
              <w:rPr>
                <w:rFonts w:ascii="Times New Roman" w:eastAsia="標楷體" w:hAnsi="Times New Roman" w:cs="Times New Roman"/>
                <w:b/>
                <w:color w:val="0000FF"/>
                <w:sz w:val="28"/>
                <w:szCs w:val="28"/>
                <w:lang w:eastAsia="zh-CN"/>
              </w:rPr>
              <w:t>50</w:t>
            </w:r>
            <w:r w:rsidR="00474FEC" w:rsidRPr="00E35965">
              <w:rPr>
                <w:rFonts w:ascii="Times New Roman" w:eastAsia="標楷體" w:hAnsi="Times New Roman" w:cs="Times New Roman"/>
                <w:b/>
                <w:color w:val="0000FF"/>
                <w:sz w:val="28"/>
                <w:szCs w:val="28"/>
                <w:lang w:eastAsia="zh-CN"/>
              </w:rPr>
              <w:t>年循環</w:t>
            </w:r>
            <w:r w:rsidR="00D9069B" w:rsidRPr="00E35965">
              <w:rPr>
                <w:rFonts w:ascii="Times New Roman" w:eastAsia="標楷體" w:hAnsi="Times New Roman" w:cs="Times New Roman"/>
                <w:b/>
                <w:color w:val="0000FF"/>
                <w:sz w:val="28"/>
                <w:szCs w:val="28"/>
                <w:lang w:eastAsia="zh-CN"/>
              </w:rPr>
              <w:t>」研究觀之</w:t>
            </w:r>
            <w:r w:rsidR="003B5A7A" w:rsidRPr="00E35965">
              <w:rPr>
                <w:rFonts w:ascii="Times New Roman" w:eastAsia="標楷體" w:hAnsi="Times New Roman" w:cs="Times New Roman"/>
                <w:b/>
                <w:color w:val="0000FF"/>
                <w:sz w:val="28"/>
                <w:szCs w:val="28"/>
                <w:lang w:eastAsia="zh-CN"/>
              </w:rPr>
              <w:t>，</w:t>
            </w:r>
            <w:r w:rsidR="003B5A7A" w:rsidRPr="00E35965">
              <w:rPr>
                <w:rFonts w:ascii="Times New Roman" w:eastAsia="標楷體" w:hAnsi="Times New Roman" w:cs="Times New Roman"/>
                <w:b/>
                <w:color w:val="0000FF"/>
                <w:sz w:val="28"/>
                <w:szCs w:val="28"/>
                <w:lang w:eastAsia="zh-CN"/>
              </w:rPr>
              <w:t>2008</w:t>
            </w:r>
            <w:r w:rsidR="003B5A7A" w:rsidRPr="00E35965">
              <w:rPr>
                <w:rFonts w:ascii="Times New Roman" w:eastAsia="標楷體" w:hAnsi="Times New Roman" w:cs="Times New Roman"/>
                <w:b/>
                <w:color w:val="0000FF"/>
                <w:sz w:val="28"/>
                <w:szCs w:val="28"/>
                <w:lang w:eastAsia="zh-CN"/>
              </w:rPr>
              <w:t>金融海嘯</w:t>
            </w:r>
            <w:r w:rsidR="001B0C4E" w:rsidRPr="00E35965">
              <w:rPr>
                <w:rFonts w:ascii="Times New Roman" w:eastAsia="標楷體" w:hAnsi="Times New Roman" w:cs="Times New Roman"/>
                <w:b/>
                <w:color w:val="0000FF"/>
                <w:sz w:val="28"/>
                <w:szCs w:val="28"/>
                <w:lang w:eastAsia="zh-CN"/>
              </w:rPr>
              <w:t>是屬</w:t>
            </w:r>
            <w:r w:rsidR="00DD4745" w:rsidRPr="00E35965">
              <w:rPr>
                <w:rFonts w:ascii="Times New Roman" w:eastAsia="標楷體" w:hAnsi="Times New Roman" w:cs="Times New Roman"/>
                <w:b/>
                <w:color w:val="0000FF"/>
                <w:sz w:val="28"/>
                <w:szCs w:val="28"/>
                <w:lang w:eastAsia="zh-CN"/>
              </w:rPr>
              <w:t>第五次</w:t>
            </w:r>
            <w:r w:rsidR="00D42DF1" w:rsidRPr="00E35965">
              <w:rPr>
                <w:rFonts w:ascii="Times New Roman" w:eastAsia="標楷體" w:hAnsi="Times New Roman" w:cs="Times New Roman"/>
                <w:b/>
                <w:color w:val="0000FF"/>
                <w:sz w:val="28"/>
                <w:szCs w:val="28"/>
                <w:lang w:eastAsia="zh-CN"/>
              </w:rPr>
              <w:t>循環</w:t>
            </w:r>
            <w:r w:rsidR="003E7A8B" w:rsidRPr="00E35965">
              <w:rPr>
                <w:rFonts w:ascii="Times New Roman" w:eastAsia="標楷體" w:hAnsi="Times New Roman" w:cs="Times New Roman"/>
                <w:b/>
                <w:color w:val="0000FF"/>
                <w:sz w:val="28"/>
                <w:szCs w:val="28"/>
                <w:lang w:eastAsia="zh-CN"/>
              </w:rPr>
              <w:t>的下</w:t>
            </w:r>
            <w:r w:rsidR="0081508B" w:rsidRPr="00E35965">
              <w:rPr>
                <w:rFonts w:ascii="Times New Roman" w:eastAsia="標楷體" w:hAnsi="Times New Roman" w:cs="Times New Roman"/>
                <w:b/>
                <w:color w:val="0000FF"/>
                <w:sz w:val="28"/>
                <w:szCs w:val="28"/>
                <w:lang w:eastAsia="zh-CN"/>
              </w:rPr>
              <w:t>降期，</w:t>
            </w:r>
            <w:r w:rsidR="00EE5051" w:rsidRPr="00E35965">
              <w:rPr>
                <w:rFonts w:ascii="Times New Roman" w:eastAsia="標楷體" w:hAnsi="Times New Roman" w:cs="Times New Roman"/>
                <w:b/>
                <w:color w:val="0000FF"/>
                <w:sz w:val="28"/>
                <w:szCs w:val="28"/>
                <w:lang w:eastAsia="zh-CN"/>
              </w:rPr>
              <w:t>來到</w:t>
            </w:r>
            <w:r w:rsidR="005C3DC0" w:rsidRPr="00E35965">
              <w:rPr>
                <w:rFonts w:ascii="Times New Roman" w:eastAsia="標楷體" w:hAnsi="Times New Roman" w:cs="Times New Roman"/>
                <w:b/>
                <w:color w:val="0000FF"/>
                <w:sz w:val="28"/>
                <w:szCs w:val="28"/>
                <w:lang w:eastAsia="zh-CN"/>
              </w:rPr>
              <w:t>10</w:t>
            </w:r>
            <w:r w:rsidR="005C3DC0" w:rsidRPr="00E35965">
              <w:rPr>
                <w:rFonts w:ascii="Times New Roman" w:eastAsia="標楷體" w:hAnsi="Times New Roman" w:cs="Times New Roman"/>
                <w:b/>
                <w:color w:val="0000FF"/>
                <w:sz w:val="28"/>
                <w:szCs w:val="28"/>
                <w:lang w:eastAsia="zh-CN"/>
              </w:rPr>
              <w:t>年後的</w:t>
            </w:r>
            <w:r w:rsidR="0081508B" w:rsidRPr="00E35965">
              <w:rPr>
                <w:rFonts w:ascii="Times New Roman" w:eastAsia="標楷體" w:hAnsi="Times New Roman" w:cs="Times New Roman"/>
                <w:b/>
                <w:color w:val="0000FF"/>
                <w:sz w:val="28"/>
                <w:szCs w:val="28"/>
                <w:lang w:eastAsia="zh-CN"/>
              </w:rPr>
              <w:t>2018</w:t>
            </w:r>
            <w:r w:rsidR="0081508B" w:rsidRPr="00E35965">
              <w:rPr>
                <w:rFonts w:ascii="Times New Roman" w:eastAsia="標楷體" w:hAnsi="Times New Roman" w:cs="Times New Roman"/>
                <w:b/>
                <w:color w:val="0000FF"/>
                <w:sz w:val="28"/>
                <w:szCs w:val="28"/>
                <w:lang w:eastAsia="zh-CN"/>
              </w:rPr>
              <w:t>年則處</w:t>
            </w:r>
            <w:r w:rsidR="008B62A0" w:rsidRPr="00E35965">
              <w:rPr>
                <w:rFonts w:ascii="Times New Roman" w:eastAsia="標楷體" w:hAnsi="Times New Roman" w:cs="Times New Roman"/>
                <w:b/>
                <w:color w:val="0000FF"/>
                <w:sz w:val="28"/>
                <w:szCs w:val="28"/>
                <w:lang w:eastAsia="zh-CN"/>
              </w:rPr>
              <w:t>下降期</w:t>
            </w:r>
            <w:r w:rsidR="00B57919" w:rsidRPr="00E35965">
              <w:rPr>
                <w:rFonts w:ascii="Times New Roman" w:eastAsia="標楷體" w:hAnsi="Times New Roman" w:cs="Times New Roman"/>
                <w:b/>
                <w:color w:val="0000FF"/>
                <w:sz w:val="28"/>
                <w:szCs w:val="28"/>
                <w:lang w:eastAsia="zh-CN"/>
              </w:rPr>
              <w:t>的末期階段，</w:t>
            </w:r>
            <w:r w:rsidR="000C0E67" w:rsidRPr="00E35965">
              <w:rPr>
                <w:rFonts w:ascii="Times New Roman" w:eastAsia="標楷體" w:hAnsi="Times New Roman" w:cs="Times New Roman"/>
                <w:b/>
                <w:color w:val="0000FF"/>
                <w:sz w:val="28"/>
                <w:szCs w:val="28"/>
                <w:lang w:eastAsia="zh-CN"/>
              </w:rPr>
              <w:t>此時</w:t>
            </w:r>
            <w:r w:rsidR="000356E4" w:rsidRPr="00E35965">
              <w:rPr>
                <w:rFonts w:ascii="Times New Roman" w:eastAsia="標楷體" w:hAnsi="Times New Roman" w:cs="Times New Roman"/>
                <w:b/>
                <w:color w:val="0000FF"/>
                <w:sz w:val="28"/>
                <w:szCs w:val="28"/>
                <w:lang w:eastAsia="zh-CN"/>
              </w:rPr>
              <w:t>因</w:t>
            </w:r>
            <w:r w:rsidR="00146088" w:rsidRPr="00E35965">
              <w:rPr>
                <w:rFonts w:ascii="Times New Roman" w:eastAsia="標楷體" w:hAnsi="Times New Roman" w:cs="Times New Roman"/>
                <w:b/>
                <w:color w:val="0000FF"/>
                <w:sz w:val="28"/>
                <w:szCs w:val="28"/>
                <w:lang w:eastAsia="zh-CN"/>
              </w:rPr>
              <w:t>「舊經濟」</w:t>
            </w:r>
            <w:r w:rsidR="006F1244" w:rsidRPr="00E35965">
              <w:rPr>
                <w:rFonts w:ascii="Times New Roman" w:eastAsia="標楷體" w:hAnsi="Times New Roman" w:cs="Times New Roman"/>
                <w:b/>
                <w:color w:val="0000FF"/>
                <w:sz w:val="28"/>
                <w:szCs w:val="28"/>
                <w:lang w:eastAsia="zh-CN"/>
              </w:rPr>
              <w:t>各種失衡</w:t>
            </w:r>
            <w:r w:rsidR="000F2C51" w:rsidRPr="00E35965">
              <w:rPr>
                <w:rFonts w:ascii="Times New Roman" w:eastAsia="標楷體" w:hAnsi="Times New Roman" w:cs="Times New Roman"/>
                <w:b/>
                <w:color w:val="0000FF"/>
                <w:sz w:val="28"/>
                <w:szCs w:val="28"/>
                <w:lang w:eastAsia="zh-CN"/>
              </w:rPr>
              <w:t>積重難返，</w:t>
            </w:r>
            <w:r w:rsidR="00B81887" w:rsidRPr="00E35965">
              <w:rPr>
                <w:rFonts w:ascii="Times New Roman" w:eastAsia="標楷體" w:hAnsi="Times New Roman" w:cs="Times New Roman"/>
                <w:b/>
                <w:color w:val="0000FF"/>
                <w:sz w:val="28"/>
                <w:szCs w:val="28"/>
                <w:lang w:eastAsia="zh-CN"/>
              </w:rPr>
              <w:t>舊秩序</w:t>
            </w:r>
            <w:r w:rsidR="004E4977" w:rsidRPr="00E35965">
              <w:rPr>
                <w:rFonts w:ascii="Times New Roman" w:eastAsia="標楷體" w:hAnsi="Times New Roman" w:cs="Times New Roman"/>
                <w:b/>
                <w:color w:val="0000FF"/>
                <w:sz w:val="28"/>
                <w:szCs w:val="28"/>
                <w:lang w:eastAsia="zh-CN"/>
              </w:rPr>
              <w:t>崩解加速</w:t>
            </w:r>
            <w:r w:rsidR="00DB7372" w:rsidRPr="00E35965">
              <w:rPr>
                <w:rFonts w:ascii="Times New Roman" w:eastAsia="標楷體" w:hAnsi="Times New Roman" w:cs="Times New Roman" w:hint="eastAsia"/>
                <w:b/>
                <w:color w:val="0000FF"/>
                <w:sz w:val="28"/>
                <w:szCs w:val="28"/>
                <w:lang w:eastAsia="zh-CN"/>
              </w:rPr>
              <w:t>；</w:t>
            </w:r>
            <w:r w:rsidR="000F2C51" w:rsidRPr="00E35965">
              <w:rPr>
                <w:rFonts w:ascii="Times New Roman" w:eastAsia="標楷體" w:hAnsi="Times New Roman" w:cs="Times New Roman"/>
                <w:b/>
                <w:color w:val="0000FF"/>
                <w:sz w:val="28"/>
                <w:szCs w:val="28"/>
                <w:lang w:eastAsia="zh-CN"/>
              </w:rPr>
              <w:t>「</w:t>
            </w:r>
            <w:r w:rsidR="006E41A6" w:rsidRPr="00E35965">
              <w:rPr>
                <w:rFonts w:ascii="Times New Roman" w:eastAsia="標楷體" w:hAnsi="Times New Roman" w:cs="Times New Roman"/>
                <w:b/>
                <w:color w:val="0000FF"/>
                <w:sz w:val="28"/>
                <w:szCs w:val="28"/>
                <w:lang w:eastAsia="zh-CN"/>
              </w:rPr>
              <w:t>新經濟</w:t>
            </w:r>
            <w:r w:rsidR="000F2C51" w:rsidRPr="00E35965">
              <w:rPr>
                <w:rFonts w:ascii="Times New Roman" w:eastAsia="標楷體" w:hAnsi="Times New Roman" w:cs="Times New Roman"/>
                <w:b/>
                <w:color w:val="0000FF"/>
                <w:sz w:val="28"/>
                <w:szCs w:val="28"/>
                <w:lang w:eastAsia="zh-CN"/>
              </w:rPr>
              <w:t>」</w:t>
            </w:r>
            <w:r w:rsidR="006E41A6" w:rsidRPr="00E35965">
              <w:rPr>
                <w:rFonts w:ascii="Times New Roman" w:eastAsia="標楷體" w:hAnsi="Times New Roman" w:cs="Times New Roman"/>
                <w:b/>
                <w:color w:val="0000FF"/>
                <w:sz w:val="28"/>
                <w:szCs w:val="28"/>
                <w:lang w:eastAsia="zh-CN"/>
              </w:rPr>
              <w:t>前景在望爭奪厲害</w:t>
            </w:r>
            <w:r w:rsidR="002157F6" w:rsidRPr="00E35965">
              <w:rPr>
                <w:rFonts w:ascii="Times New Roman" w:eastAsia="標楷體" w:hAnsi="Times New Roman" w:cs="Times New Roman"/>
                <w:b/>
                <w:color w:val="0000FF"/>
                <w:sz w:val="28"/>
                <w:szCs w:val="28"/>
                <w:lang w:eastAsia="zh-CN"/>
              </w:rPr>
              <w:t>卻</w:t>
            </w:r>
            <w:r w:rsidR="0078435E" w:rsidRPr="00E35965">
              <w:rPr>
                <w:rFonts w:ascii="Times New Roman" w:eastAsia="標楷體" w:hAnsi="Times New Roman" w:cs="Times New Roman"/>
                <w:b/>
                <w:color w:val="0000FF"/>
                <w:sz w:val="28"/>
                <w:szCs w:val="28"/>
                <w:lang w:eastAsia="zh-CN"/>
              </w:rPr>
              <w:t>充滿不確定性，</w:t>
            </w:r>
            <w:r w:rsidR="004F0BC8" w:rsidRPr="00E35965">
              <w:rPr>
                <w:rFonts w:ascii="Times New Roman" w:eastAsia="標楷體" w:hAnsi="Times New Roman" w:cs="Times New Roman"/>
                <w:b/>
                <w:color w:val="0000FF"/>
                <w:sz w:val="28"/>
                <w:szCs w:val="28"/>
                <w:lang w:eastAsia="zh-CN"/>
              </w:rPr>
              <w:t>常現</w:t>
            </w:r>
            <w:r w:rsidR="00513B51" w:rsidRPr="00E35965">
              <w:rPr>
                <w:rFonts w:ascii="Times New Roman" w:eastAsia="標楷體" w:hAnsi="Times New Roman" w:cs="Times New Roman"/>
                <w:b/>
                <w:color w:val="0000FF"/>
                <w:sz w:val="28"/>
                <w:szCs w:val="28"/>
                <w:lang w:eastAsia="zh-CN"/>
              </w:rPr>
              <w:t>波動激烈</w:t>
            </w:r>
            <w:r w:rsidR="00FA0DFA" w:rsidRPr="00E35965">
              <w:rPr>
                <w:rFonts w:ascii="Times New Roman" w:eastAsia="標楷體" w:hAnsi="Times New Roman" w:cs="Times New Roman"/>
                <w:b/>
                <w:color w:val="0000FF"/>
                <w:sz w:val="28"/>
                <w:szCs w:val="28"/>
                <w:lang w:eastAsia="zh-CN"/>
              </w:rPr>
              <w:t>詭譎多變</w:t>
            </w:r>
            <w:r w:rsidR="00EE5051" w:rsidRPr="00E35965">
              <w:rPr>
                <w:rFonts w:ascii="Times New Roman" w:eastAsia="標楷體" w:hAnsi="Times New Roman" w:cs="Times New Roman"/>
                <w:b/>
                <w:color w:val="0000FF"/>
                <w:sz w:val="28"/>
                <w:szCs w:val="28"/>
                <w:lang w:eastAsia="zh-CN"/>
              </w:rPr>
              <w:t>的現象。</w:t>
            </w:r>
            <w:r w:rsidR="008F4DD0" w:rsidRPr="00E35965">
              <w:rPr>
                <w:rFonts w:ascii="Times New Roman" w:eastAsia="標楷體" w:hAnsi="Times New Roman" w:cs="Times New Roman"/>
                <w:b/>
                <w:color w:val="0000FF"/>
                <w:sz w:val="28"/>
                <w:szCs w:val="28"/>
                <w:lang w:eastAsia="zh-CN"/>
              </w:rPr>
              <w:t>雖</w:t>
            </w:r>
            <w:r w:rsidR="000C6A87" w:rsidRPr="00E35965">
              <w:rPr>
                <w:rFonts w:ascii="Times New Roman" w:eastAsia="標楷體" w:hAnsi="Times New Roman" w:cs="Times New Roman"/>
                <w:b/>
                <w:color w:val="0000FF"/>
                <w:sz w:val="28"/>
                <w:szCs w:val="28"/>
                <w:lang w:eastAsia="zh-CN"/>
              </w:rPr>
              <w:t>各種長波循環有待</w:t>
            </w:r>
            <w:r w:rsidR="00CB65B8" w:rsidRPr="00E35965">
              <w:rPr>
                <w:rFonts w:ascii="Times New Roman" w:eastAsia="標楷體" w:hAnsi="Times New Roman" w:cs="Times New Roman"/>
                <w:b/>
                <w:color w:val="0000FF"/>
                <w:sz w:val="28"/>
                <w:szCs w:val="28"/>
                <w:lang w:eastAsia="zh-CN"/>
              </w:rPr>
              <w:t>另為專題研究</w:t>
            </w:r>
            <w:r w:rsidR="00213142" w:rsidRPr="00E35965">
              <w:rPr>
                <w:rFonts w:ascii="Times New Roman" w:eastAsia="標楷體" w:hAnsi="Times New Roman" w:cs="Times New Roman"/>
                <w:b/>
                <w:color w:val="0000FF"/>
                <w:sz w:val="28"/>
                <w:szCs w:val="28"/>
                <w:lang w:eastAsia="zh-CN"/>
              </w:rPr>
              <w:t>，但無妨</w:t>
            </w:r>
            <w:r w:rsidR="00A6466B" w:rsidRPr="00E35965">
              <w:rPr>
                <w:rFonts w:ascii="Times New Roman" w:eastAsia="標楷體" w:hAnsi="Times New Roman" w:cs="Times New Roman"/>
                <w:b/>
                <w:color w:val="0000FF"/>
                <w:sz w:val="28"/>
                <w:szCs w:val="28"/>
                <w:lang w:eastAsia="zh-CN"/>
              </w:rPr>
              <w:t>讓我們</w:t>
            </w:r>
            <w:r w:rsidR="0042388B" w:rsidRPr="00E35965">
              <w:rPr>
                <w:rFonts w:ascii="Times New Roman" w:eastAsia="標楷體" w:hAnsi="Times New Roman" w:cs="Times New Roman"/>
                <w:b/>
                <w:color w:val="0000FF"/>
                <w:sz w:val="28"/>
                <w:szCs w:val="28"/>
                <w:lang w:eastAsia="zh-CN"/>
              </w:rPr>
              <w:t>從本指標系統的相關</w:t>
            </w:r>
            <w:r w:rsidR="0058284A" w:rsidRPr="00E35965">
              <w:rPr>
                <w:rFonts w:ascii="Times New Roman" w:eastAsia="標楷體" w:hAnsi="Times New Roman" w:cs="Times New Roman"/>
                <w:b/>
                <w:color w:val="0000FF"/>
                <w:sz w:val="28"/>
                <w:szCs w:val="28"/>
                <w:lang w:eastAsia="zh-CN"/>
              </w:rPr>
              <w:t>子指標行為表現來</w:t>
            </w:r>
            <w:r w:rsidR="008F4DD0" w:rsidRPr="00E35965">
              <w:rPr>
                <w:rFonts w:ascii="Times New Roman" w:eastAsia="標楷體" w:hAnsi="Times New Roman" w:cs="Times New Roman"/>
                <w:b/>
                <w:color w:val="0000FF"/>
                <w:sz w:val="28"/>
                <w:szCs w:val="28"/>
                <w:lang w:eastAsia="zh-CN"/>
              </w:rPr>
              <w:t>尋找</w:t>
            </w:r>
            <w:r w:rsidR="00075321" w:rsidRPr="00E35965">
              <w:rPr>
                <w:rFonts w:ascii="Times New Roman" w:eastAsia="標楷體" w:hAnsi="Times New Roman" w:cs="Times New Roman"/>
                <w:b/>
                <w:color w:val="0000FF"/>
                <w:sz w:val="28"/>
                <w:szCs w:val="28"/>
                <w:lang w:eastAsia="zh-CN"/>
              </w:rPr>
              <w:t>台灣</w:t>
            </w:r>
            <w:r w:rsidR="008619B5" w:rsidRPr="00E35965">
              <w:rPr>
                <w:rFonts w:ascii="Times New Roman" w:eastAsia="標楷體" w:hAnsi="Times New Roman" w:cs="Times New Roman"/>
                <w:b/>
                <w:color w:val="0000FF"/>
                <w:sz w:val="28"/>
                <w:szCs w:val="28"/>
                <w:lang w:eastAsia="zh-CN"/>
              </w:rPr>
              <w:t>其他長波</w:t>
            </w:r>
            <w:r w:rsidR="00CF1E74" w:rsidRPr="00E35965">
              <w:rPr>
                <w:rFonts w:ascii="Times New Roman" w:eastAsia="標楷體" w:hAnsi="Times New Roman" w:cs="Times New Roman"/>
                <w:b/>
                <w:color w:val="0000FF"/>
                <w:sz w:val="28"/>
                <w:szCs w:val="28"/>
                <w:lang w:eastAsia="zh-CN"/>
              </w:rPr>
              <w:t>循環</w:t>
            </w:r>
            <w:r w:rsidR="00F470D6" w:rsidRPr="00E35965">
              <w:rPr>
                <w:rFonts w:ascii="Times New Roman" w:eastAsia="標楷體" w:hAnsi="Times New Roman" w:cs="Times New Roman"/>
                <w:b/>
                <w:color w:val="0000FF"/>
                <w:sz w:val="28"/>
                <w:szCs w:val="28"/>
                <w:lang w:eastAsia="zh-CN"/>
              </w:rPr>
              <w:t>的</w:t>
            </w:r>
            <w:r w:rsidR="00C80399" w:rsidRPr="00E35965">
              <w:rPr>
                <w:rFonts w:ascii="Times New Roman" w:eastAsia="標楷體" w:hAnsi="Times New Roman" w:cs="Times New Roman"/>
                <w:b/>
                <w:color w:val="0000FF"/>
                <w:sz w:val="28"/>
                <w:szCs w:val="28"/>
                <w:lang w:eastAsia="zh-CN"/>
              </w:rPr>
              <w:t>可能</w:t>
            </w:r>
            <w:r w:rsidR="00F470D6" w:rsidRPr="00E35965">
              <w:rPr>
                <w:rFonts w:ascii="Times New Roman" w:eastAsia="標楷體" w:hAnsi="Times New Roman" w:cs="Times New Roman"/>
                <w:b/>
                <w:color w:val="0000FF"/>
                <w:sz w:val="28"/>
                <w:szCs w:val="28"/>
                <w:lang w:eastAsia="zh-CN"/>
              </w:rPr>
              <w:t>蹤跡</w:t>
            </w:r>
            <w:r w:rsidR="00CC069D" w:rsidRPr="00E35965">
              <w:rPr>
                <w:rFonts w:ascii="Times New Roman" w:eastAsia="標楷體" w:hAnsi="Times New Roman" w:cs="Times New Roman"/>
                <w:b/>
                <w:color w:val="0000FF"/>
                <w:sz w:val="28"/>
                <w:szCs w:val="28"/>
                <w:lang w:eastAsia="zh-CN"/>
              </w:rPr>
              <w:t>。</w:t>
            </w:r>
          </w:p>
          <w:p w14:paraId="5740D423" w14:textId="77777777" w:rsidR="009B737F" w:rsidRPr="00DB7372" w:rsidRDefault="009B737F" w:rsidP="000F79D3">
            <w:pPr>
              <w:adjustRightInd w:val="0"/>
              <w:ind w:firstLineChars="200" w:firstLine="560"/>
              <w:rPr>
                <w:rFonts w:ascii="Times New Roman" w:eastAsia="標楷體" w:hAnsi="Times New Roman" w:cs="Times New Roman"/>
                <w:sz w:val="28"/>
                <w:szCs w:val="28"/>
              </w:rPr>
            </w:pPr>
          </w:p>
          <w:p w14:paraId="6D172086" w14:textId="5ACE13AB" w:rsidR="002A6942" w:rsidRPr="00DB7372" w:rsidRDefault="00D02504" w:rsidP="000F79D3">
            <w:pPr>
              <w:adjustRightInd w:val="0"/>
              <w:ind w:firstLineChars="200" w:firstLine="561"/>
              <w:rPr>
                <w:rFonts w:ascii="Times New Roman" w:eastAsia="標楷體" w:hAnsi="Times New Roman" w:cs="Times New Roman"/>
                <w:b/>
                <w:color w:val="FF0000"/>
                <w:sz w:val="28"/>
                <w:szCs w:val="28"/>
                <w:lang w:eastAsia="zh-CN"/>
              </w:rPr>
            </w:pPr>
            <w:r w:rsidRPr="00DB7372">
              <w:rPr>
                <w:rFonts w:ascii="Times New Roman" w:eastAsia="標楷體" w:hAnsi="Times New Roman" w:cs="Times New Roman"/>
                <w:b/>
                <w:color w:val="FF0000"/>
                <w:sz w:val="28"/>
                <w:szCs w:val="28"/>
                <w:lang w:eastAsia="zh-CN"/>
              </w:rPr>
              <w:t>領先指標</w:t>
            </w:r>
            <w:r w:rsidR="00FB2561" w:rsidRPr="00DB7372">
              <w:rPr>
                <w:rFonts w:ascii="Times New Roman" w:eastAsia="標楷體" w:hAnsi="Times New Roman" w:cs="Times New Roman"/>
                <w:b/>
                <w:color w:val="FF0000"/>
                <w:sz w:val="28"/>
                <w:szCs w:val="28"/>
                <w:lang w:eastAsia="zh-CN"/>
              </w:rPr>
              <w:t>六項子指標其中三</w:t>
            </w:r>
            <w:r w:rsidR="00DD5BF7" w:rsidRPr="00DB7372">
              <w:rPr>
                <w:rFonts w:ascii="Times New Roman" w:eastAsia="標楷體" w:hAnsi="Times New Roman" w:cs="Times New Roman"/>
                <w:b/>
                <w:color w:val="FF0000"/>
                <w:sz w:val="28"/>
                <w:szCs w:val="28"/>
                <w:lang w:eastAsia="zh-CN"/>
              </w:rPr>
              <w:t>項</w:t>
            </w:r>
            <w:r w:rsidR="00500F22" w:rsidRPr="00DB7372">
              <w:rPr>
                <w:rFonts w:ascii="Times New Roman" w:eastAsia="標楷體" w:hAnsi="Times New Roman" w:cs="Times New Roman"/>
                <w:b/>
                <w:color w:val="FF0000"/>
                <w:sz w:val="28"/>
                <w:szCs w:val="28"/>
                <w:lang w:eastAsia="zh-CN"/>
              </w:rPr>
              <w:t>明顯</w:t>
            </w:r>
            <w:r w:rsidR="00DD5BF7" w:rsidRPr="00DB7372">
              <w:rPr>
                <w:rFonts w:ascii="Times New Roman" w:eastAsia="標楷體" w:hAnsi="Times New Roman" w:cs="Times New Roman"/>
                <w:b/>
                <w:color w:val="FF0000"/>
                <w:sz w:val="28"/>
                <w:szCs w:val="28"/>
                <w:lang w:eastAsia="zh-CN"/>
              </w:rPr>
              <w:t>影響</w:t>
            </w:r>
            <w:r w:rsidR="00052A98" w:rsidRPr="00DB7372">
              <w:rPr>
                <w:rFonts w:ascii="Times New Roman" w:eastAsia="標楷體" w:hAnsi="Times New Roman" w:cs="Times New Roman"/>
                <w:b/>
                <w:color w:val="FF0000"/>
                <w:sz w:val="28"/>
                <w:szCs w:val="28"/>
                <w:lang w:eastAsia="zh-CN"/>
              </w:rPr>
              <w:t>景氣</w:t>
            </w:r>
            <w:r w:rsidR="009F3A0B" w:rsidRPr="00DB7372">
              <w:rPr>
                <w:rFonts w:ascii="Times New Roman" w:eastAsia="標楷體" w:hAnsi="Times New Roman" w:cs="Times New Roman"/>
                <w:b/>
                <w:color w:val="FF0000"/>
                <w:sz w:val="28"/>
                <w:szCs w:val="28"/>
                <w:lang w:eastAsia="zh-CN"/>
              </w:rPr>
              <w:t>的</w:t>
            </w:r>
            <w:r w:rsidR="00DD5BF7" w:rsidRPr="00DB7372">
              <w:rPr>
                <w:rFonts w:ascii="Times New Roman" w:eastAsia="標楷體" w:hAnsi="Times New Roman" w:cs="Times New Roman"/>
                <w:b/>
                <w:color w:val="FF0000"/>
                <w:sz w:val="28"/>
                <w:szCs w:val="28"/>
                <w:lang w:eastAsia="zh-CN"/>
              </w:rPr>
              <w:t>見</w:t>
            </w:r>
            <w:r w:rsidR="00FF083D" w:rsidRPr="00DB7372">
              <w:rPr>
                <w:rFonts w:ascii="Times New Roman" w:eastAsia="標楷體" w:hAnsi="Times New Roman" w:cs="Times New Roman"/>
                <w:b/>
                <w:color w:val="FF0000"/>
                <w:sz w:val="28"/>
                <w:szCs w:val="28"/>
                <w:lang w:eastAsia="zh-CN"/>
              </w:rPr>
              <w:t>衰</w:t>
            </w:r>
          </w:p>
          <w:p w14:paraId="3C8259F9" w14:textId="10400EEF" w:rsidR="00CE6141" w:rsidRPr="00DB7372" w:rsidRDefault="001911E6" w:rsidP="00E300BA">
            <w:pPr>
              <w:adjustRightInd w:val="0"/>
              <w:ind w:firstLineChars="200" w:firstLine="560"/>
              <w:rPr>
                <w:rFonts w:ascii="Times New Roman" w:eastAsia="標楷體" w:hAnsi="Times New Roman" w:cs="Times New Roman"/>
                <w:sz w:val="28"/>
                <w:szCs w:val="28"/>
                <w:lang w:eastAsia="zh-CN"/>
              </w:rPr>
            </w:pPr>
            <w:r w:rsidRPr="00DB7372">
              <w:rPr>
                <w:rFonts w:ascii="Times New Roman" w:eastAsia="標楷體" w:hAnsi="Times New Roman" w:cs="Times New Roman"/>
                <w:sz w:val="28"/>
                <w:szCs w:val="28"/>
              </w:rPr>
              <w:t>本系統</w:t>
            </w:r>
            <w:r w:rsidR="00D63990" w:rsidRPr="00DB7372">
              <w:rPr>
                <w:rFonts w:ascii="Times New Roman" w:eastAsia="標楷體" w:hAnsi="Times New Roman" w:cs="Times New Roman"/>
                <w:sz w:val="28"/>
                <w:szCs w:val="28"/>
              </w:rPr>
              <w:t>領先</w:t>
            </w:r>
            <w:r w:rsidR="00DD2B94" w:rsidRPr="00DB7372">
              <w:rPr>
                <w:rFonts w:ascii="Times New Roman" w:eastAsia="標楷體" w:hAnsi="Times New Roman" w:cs="Times New Roman"/>
                <w:sz w:val="28"/>
                <w:szCs w:val="28"/>
              </w:rPr>
              <w:t>指標循環指數</w:t>
            </w:r>
            <w:r w:rsidRPr="00DB7372">
              <w:rPr>
                <w:rFonts w:ascii="Times New Roman" w:eastAsia="標楷體" w:hAnsi="Times New Roman" w:cs="Times New Roman"/>
                <w:sz w:val="28"/>
                <w:szCs w:val="28"/>
              </w:rPr>
              <w:t>於</w:t>
            </w:r>
            <w:r w:rsidR="00DD2B94" w:rsidRPr="00DB7372">
              <w:rPr>
                <w:rFonts w:ascii="Times New Roman" w:eastAsia="標楷體" w:hAnsi="Times New Roman" w:cs="Times New Roman"/>
                <w:sz w:val="28"/>
                <w:szCs w:val="28"/>
              </w:rPr>
              <w:t>四月份</w:t>
            </w:r>
            <w:r w:rsidR="00BE12C5" w:rsidRPr="00DB7372">
              <w:rPr>
                <w:rFonts w:ascii="Times New Roman" w:eastAsia="標楷體" w:hAnsi="Times New Roman" w:cs="Times New Roman"/>
                <w:sz w:val="28"/>
                <w:szCs w:val="28"/>
              </w:rPr>
              <w:t>首度出現</w:t>
            </w:r>
            <w:r w:rsidR="007C7BDD" w:rsidRPr="00DB7372">
              <w:rPr>
                <w:rFonts w:ascii="Times New Roman" w:eastAsia="標楷體" w:hAnsi="Times New Roman" w:cs="Times New Roman"/>
                <w:sz w:val="28"/>
                <w:szCs w:val="28"/>
              </w:rPr>
              <w:t>自</w:t>
            </w:r>
            <w:r w:rsidR="007C7BDD" w:rsidRPr="00DB7372">
              <w:rPr>
                <w:rFonts w:ascii="Times New Roman" w:eastAsia="標楷體" w:hAnsi="Times New Roman" w:cs="Times New Roman"/>
                <w:sz w:val="28"/>
                <w:szCs w:val="28"/>
                <w:lang w:eastAsia="zh-CN"/>
              </w:rPr>
              <w:t>2016</w:t>
            </w:r>
            <w:r w:rsidR="00746477" w:rsidRPr="00DB7372">
              <w:rPr>
                <w:rFonts w:ascii="Times New Roman" w:eastAsia="標楷體" w:hAnsi="Times New Roman" w:cs="Times New Roman"/>
                <w:sz w:val="28"/>
                <w:szCs w:val="28"/>
                <w:lang w:eastAsia="zh-CN"/>
              </w:rPr>
              <w:t>/7</w:t>
            </w:r>
            <w:r w:rsidR="000822D6" w:rsidRPr="00DB7372">
              <w:rPr>
                <w:rFonts w:ascii="Times New Roman" w:eastAsia="標楷體" w:hAnsi="Times New Roman" w:cs="Times New Roman"/>
                <w:sz w:val="28"/>
                <w:szCs w:val="28"/>
              </w:rPr>
              <w:t>底谷以</w:t>
            </w:r>
            <w:r w:rsidR="009B6836" w:rsidRPr="00DB7372">
              <w:rPr>
                <w:rFonts w:ascii="Times New Roman" w:eastAsia="標楷體" w:hAnsi="Times New Roman" w:cs="Times New Roman"/>
                <w:sz w:val="28"/>
                <w:szCs w:val="28"/>
              </w:rPr>
              <w:t>來的止升轉</w:t>
            </w:r>
            <w:r w:rsidR="003C1035" w:rsidRPr="00DB7372">
              <w:rPr>
                <w:rFonts w:ascii="Times New Roman" w:eastAsia="標楷體" w:hAnsi="Times New Roman" w:cs="Times New Roman"/>
                <w:sz w:val="28"/>
                <w:szCs w:val="28"/>
              </w:rPr>
              <w:t>降</w:t>
            </w:r>
            <w:r w:rsidR="00157FAA" w:rsidRPr="00DB7372">
              <w:rPr>
                <w:rFonts w:ascii="Times New Roman" w:eastAsia="標楷體" w:hAnsi="Times New Roman" w:cs="Times New Roman"/>
                <w:sz w:val="28"/>
                <w:szCs w:val="28"/>
              </w:rPr>
              <w:t>訊號，</w:t>
            </w:r>
            <w:r w:rsidR="009721AC" w:rsidRPr="00DB7372">
              <w:rPr>
                <w:rFonts w:ascii="Times New Roman" w:eastAsia="標楷體" w:hAnsi="Times New Roman" w:cs="Times New Roman"/>
                <w:sz w:val="28"/>
                <w:szCs w:val="28"/>
              </w:rPr>
              <w:t>審視</w:t>
            </w:r>
            <w:r w:rsidR="0024734C" w:rsidRPr="00DB7372">
              <w:rPr>
                <w:rFonts w:ascii="Times New Roman" w:eastAsia="標楷體" w:hAnsi="Times New Roman" w:cs="Times New Roman"/>
                <w:sz w:val="28"/>
                <w:szCs w:val="28"/>
              </w:rPr>
              <w:t>其</w:t>
            </w:r>
            <w:r w:rsidR="004C13AE" w:rsidRPr="00DB7372">
              <w:rPr>
                <w:rFonts w:ascii="Times New Roman" w:eastAsia="標楷體" w:hAnsi="Times New Roman" w:cs="Times New Roman"/>
                <w:sz w:val="28"/>
                <w:szCs w:val="28"/>
              </w:rPr>
              <w:t>六項子指標</w:t>
            </w:r>
            <w:r w:rsidR="0024734C" w:rsidRPr="00DB7372">
              <w:rPr>
                <w:rFonts w:ascii="Times New Roman" w:eastAsia="標楷體" w:hAnsi="Times New Roman" w:cs="Times New Roman"/>
                <w:sz w:val="28"/>
                <w:szCs w:val="28"/>
              </w:rPr>
              <w:t>的</w:t>
            </w:r>
            <w:r w:rsidR="00493BF0" w:rsidRPr="00DB7372">
              <w:rPr>
                <w:rFonts w:ascii="Times New Roman" w:eastAsia="標楷體" w:hAnsi="Times New Roman" w:cs="Times New Roman"/>
                <w:sz w:val="28"/>
                <w:szCs w:val="28"/>
              </w:rPr>
              <w:t>循環走勢</w:t>
            </w:r>
            <w:r w:rsidR="00BB5C55" w:rsidRPr="00DB7372">
              <w:rPr>
                <w:rFonts w:ascii="Times New Roman" w:eastAsia="標楷體" w:hAnsi="Times New Roman" w:cs="Times New Roman"/>
                <w:sz w:val="28"/>
                <w:szCs w:val="28"/>
              </w:rPr>
              <w:t>，</w:t>
            </w:r>
            <w:r w:rsidR="00493BF0" w:rsidRPr="00DB7372">
              <w:rPr>
                <w:rFonts w:ascii="Times New Roman" w:eastAsia="標楷體" w:hAnsi="Times New Roman" w:cs="Times New Roman"/>
                <w:sz w:val="28"/>
                <w:szCs w:val="28"/>
              </w:rPr>
              <w:t>發現</w:t>
            </w:r>
            <w:r w:rsidR="001F2125" w:rsidRPr="00DB7372">
              <w:rPr>
                <w:rFonts w:ascii="Times New Roman" w:eastAsia="標楷體" w:hAnsi="Times New Roman" w:cs="Times New Roman"/>
                <w:sz w:val="28"/>
                <w:szCs w:val="28"/>
              </w:rPr>
              <w:t>其中三個</w:t>
            </w:r>
            <w:r w:rsidR="00175AC3" w:rsidRPr="00DB7372">
              <w:rPr>
                <w:rFonts w:ascii="Times New Roman" w:eastAsia="標楷體" w:hAnsi="Times New Roman" w:cs="Times New Roman"/>
                <w:sz w:val="28"/>
                <w:szCs w:val="28"/>
              </w:rPr>
              <w:t>指標</w:t>
            </w:r>
            <w:r w:rsidR="00F60354" w:rsidRPr="00DB7372">
              <w:rPr>
                <w:rFonts w:ascii="Times New Roman" w:eastAsia="標楷體" w:hAnsi="Times New Roman" w:cs="Times New Roman"/>
                <w:sz w:val="28"/>
                <w:szCs w:val="28"/>
              </w:rPr>
              <w:t>已先後出現止升轉降</w:t>
            </w:r>
            <w:r w:rsidR="003126E7">
              <w:rPr>
                <w:rFonts w:ascii="Times New Roman" w:eastAsia="標楷體" w:hAnsi="Times New Roman" w:cs="Times New Roman" w:hint="eastAsia"/>
                <w:sz w:val="28"/>
                <w:szCs w:val="28"/>
              </w:rPr>
              <w:t>：</w:t>
            </w:r>
          </w:p>
          <w:p w14:paraId="1C00A0F4" w14:textId="0A676AFE" w:rsidR="00D85109" w:rsidRPr="00DB7372" w:rsidRDefault="00CD06B9" w:rsidP="00E300BA">
            <w:pPr>
              <w:adjustRightInd w:val="0"/>
              <w:ind w:firstLineChars="200" w:firstLine="560"/>
              <w:rPr>
                <w:rFonts w:ascii="Times New Roman" w:eastAsia="標楷體" w:hAnsi="Times New Roman" w:cs="Times New Roman"/>
                <w:sz w:val="28"/>
                <w:szCs w:val="28"/>
                <w:lang w:eastAsia="zh-CN"/>
              </w:rPr>
            </w:pPr>
            <w:r w:rsidRPr="00DB7372">
              <w:rPr>
                <w:rFonts w:ascii="Times New Roman" w:eastAsia="標楷體" w:hAnsi="Times New Roman" w:cs="Times New Roman"/>
                <w:sz w:val="28"/>
                <w:szCs w:val="28"/>
                <w:lang w:eastAsia="zh-CN"/>
              </w:rPr>
              <w:t>1.</w:t>
            </w:r>
            <w:r w:rsidR="00EA33CE" w:rsidRPr="00DB7372">
              <w:rPr>
                <w:rFonts w:ascii="Times New Roman" w:eastAsia="標楷體" w:hAnsi="Times New Roman" w:cs="Times New Roman"/>
                <w:sz w:val="28"/>
                <w:szCs w:val="28"/>
              </w:rPr>
              <w:t>《</w:t>
            </w:r>
            <w:r w:rsidR="00920420" w:rsidRPr="00DB7372">
              <w:rPr>
                <w:rFonts w:ascii="Times New Roman" w:eastAsia="標楷體" w:hAnsi="Times New Roman" w:cs="Times New Roman"/>
                <w:sz w:val="28"/>
                <w:szCs w:val="28"/>
              </w:rPr>
              <w:t>民間實質固定資本形成</w:t>
            </w:r>
            <w:r w:rsidR="00EA33CE" w:rsidRPr="00DB7372">
              <w:rPr>
                <w:rFonts w:ascii="Times New Roman" w:eastAsia="標楷體" w:hAnsi="Times New Roman" w:cs="Times New Roman"/>
                <w:sz w:val="28"/>
                <w:szCs w:val="28"/>
              </w:rPr>
              <w:t>》</w:t>
            </w:r>
            <w:r w:rsidR="00EE0945" w:rsidRPr="00DB7372">
              <w:rPr>
                <w:rFonts w:ascii="Times New Roman" w:eastAsia="標楷體" w:hAnsi="Times New Roman" w:cs="Times New Roman"/>
                <w:sz w:val="28"/>
                <w:szCs w:val="28"/>
              </w:rPr>
              <w:t>循環指</w:t>
            </w:r>
            <w:r w:rsidR="00661B05" w:rsidRPr="00DB7372">
              <w:rPr>
                <w:rFonts w:ascii="Times New Roman" w:eastAsia="標楷體" w:hAnsi="Times New Roman" w:cs="Times New Roman"/>
                <w:sz w:val="28"/>
                <w:szCs w:val="28"/>
              </w:rPr>
              <w:t>數</w:t>
            </w:r>
            <w:r w:rsidR="00F45CB5" w:rsidRPr="00DB7372">
              <w:rPr>
                <w:rFonts w:ascii="Times New Roman" w:eastAsia="標楷體" w:hAnsi="Times New Roman" w:cs="Times New Roman"/>
                <w:sz w:val="28"/>
                <w:szCs w:val="28"/>
              </w:rPr>
              <w:t>曾</w:t>
            </w:r>
            <w:r w:rsidR="00661B05" w:rsidRPr="00DB7372">
              <w:rPr>
                <w:rFonts w:ascii="Times New Roman" w:eastAsia="標楷體" w:hAnsi="Times New Roman" w:cs="Times New Roman"/>
                <w:sz w:val="28"/>
                <w:szCs w:val="28"/>
              </w:rPr>
              <w:t>於</w:t>
            </w:r>
            <w:r w:rsidR="00F45CB5" w:rsidRPr="00DB7372">
              <w:rPr>
                <w:rFonts w:ascii="Times New Roman" w:eastAsia="標楷體" w:hAnsi="Times New Roman" w:cs="Times New Roman"/>
                <w:sz w:val="28"/>
                <w:szCs w:val="28"/>
                <w:lang w:eastAsia="zh-CN"/>
              </w:rPr>
              <w:t>2016/</w:t>
            </w:r>
            <w:r w:rsidR="007157FD" w:rsidRPr="00DB7372">
              <w:rPr>
                <w:rFonts w:ascii="Times New Roman" w:eastAsia="標楷體" w:hAnsi="Times New Roman" w:cs="Times New Roman"/>
                <w:sz w:val="28"/>
                <w:szCs w:val="28"/>
                <w:lang w:eastAsia="zh-CN"/>
              </w:rPr>
              <w:t>7</w:t>
            </w:r>
            <w:r w:rsidR="007157FD" w:rsidRPr="00DB7372">
              <w:rPr>
                <w:rFonts w:ascii="Times New Roman" w:eastAsia="標楷體" w:hAnsi="Times New Roman" w:cs="Times New Roman"/>
                <w:sz w:val="28"/>
                <w:szCs w:val="28"/>
                <w:lang w:eastAsia="zh-CN"/>
              </w:rPr>
              <w:t>率先帶動</w:t>
            </w:r>
            <w:r w:rsidR="003126E7" w:rsidRPr="003126E7">
              <w:rPr>
                <w:rFonts w:ascii="Times New Roman" w:eastAsia="標楷體" w:hAnsi="Times New Roman" w:cs="Times New Roman" w:hint="eastAsia"/>
                <w:sz w:val="28"/>
                <w:szCs w:val="28"/>
                <w:lang w:eastAsia="zh-CN"/>
              </w:rPr>
              <w:t>復甦</w:t>
            </w:r>
            <w:r w:rsidR="00D75A97" w:rsidRPr="00DB7372">
              <w:rPr>
                <w:rFonts w:ascii="Times New Roman" w:eastAsia="標楷體" w:hAnsi="Times New Roman" w:cs="Times New Roman"/>
                <w:sz w:val="28"/>
                <w:szCs w:val="28"/>
                <w:lang w:eastAsia="zh-CN"/>
              </w:rPr>
              <w:t>，</w:t>
            </w:r>
            <w:r w:rsidR="00D027DD" w:rsidRPr="00DB7372">
              <w:rPr>
                <w:rFonts w:ascii="Times New Roman" w:eastAsia="標楷體" w:hAnsi="Times New Roman" w:cs="Times New Roman"/>
                <w:sz w:val="28"/>
                <w:szCs w:val="28"/>
                <w:lang w:eastAsia="zh-CN"/>
              </w:rPr>
              <w:t>但</w:t>
            </w:r>
            <w:r w:rsidR="00B1166D" w:rsidRPr="00DB7372">
              <w:rPr>
                <w:rFonts w:ascii="Times New Roman" w:eastAsia="標楷體" w:hAnsi="Times New Roman" w:cs="Times New Roman"/>
                <w:sz w:val="28"/>
                <w:szCs w:val="28"/>
                <w:lang w:eastAsia="zh-CN"/>
              </w:rPr>
              <w:t>只</w:t>
            </w:r>
            <w:r w:rsidR="00CE6141" w:rsidRPr="00DB7372">
              <w:rPr>
                <w:rFonts w:ascii="Times New Roman" w:eastAsia="標楷體" w:hAnsi="Times New Roman" w:cs="Times New Roman"/>
                <w:sz w:val="28"/>
                <w:szCs w:val="28"/>
                <w:lang w:eastAsia="zh-CN"/>
              </w:rPr>
              <w:t>經</w:t>
            </w:r>
            <w:r w:rsidR="00393887" w:rsidRPr="00DB7372">
              <w:rPr>
                <w:rFonts w:ascii="Times New Roman" w:eastAsia="標楷體" w:hAnsi="Times New Roman" w:cs="Times New Roman"/>
                <w:sz w:val="28"/>
                <w:szCs w:val="28"/>
                <w:lang w:eastAsia="zh-CN"/>
              </w:rPr>
              <w:t>10</w:t>
            </w:r>
            <w:r w:rsidR="00393887" w:rsidRPr="00DB7372">
              <w:rPr>
                <w:rFonts w:ascii="Times New Roman" w:eastAsia="標楷體" w:hAnsi="Times New Roman" w:cs="Times New Roman"/>
                <w:sz w:val="28"/>
                <w:szCs w:val="28"/>
                <w:lang w:eastAsia="zh-CN"/>
              </w:rPr>
              <w:t>個月就</w:t>
            </w:r>
            <w:r w:rsidR="00D75A97" w:rsidRPr="00DB7372">
              <w:rPr>
                <w:rFonts w:ascii="Times New Roman" w:eastAsia="標楷體" w:hAnsi="Times New Roman" w:cs="Times New Roman"/>
                <w:sz w:val="28"/>
                <w:szCs w:val="28"/>
                <w:lang w:eastAsia="zh-CN"/>
              </w:rPr>
              <w:t>於</w:t>
            </w:r>
            <w:r w:rsidR="00D75A97" w:rsidRPr="00DB7372">
              <w:rPr>
                <w:rFonts w:ascii="Times New Roman" w:eastAsia="標楷體" w:hAnsi="Times New Roman" w:cs="Times New Roman"/>
                <w:sz w:val="28"/>
                <w:szCs w:val="28"/>
                <w:lang w:eastAsia="zh-CN"/>
              </w:rPr>
              <w:t>2017/4</w:t>
            </w:r>
            <w:r w:rsidR="00E67682" w:rsidRPr="00DB7372">
              <w:rPr>
                <w:rFonts w:ascii="Times New Roman" w:eastAsia="標楷體" w:hAnsi="Times New Roman" w:cs="Times New Roman"/>
                <w:sz w:val="28"/>
                <w:szCs w:val="28"/>
                <w:lang w:eastAsia="zh-CN"/>
              </w:rPr>
              <w:t>止升轉降</w:t>
            </w:r>
            <w:r w:rsidR="004A7989" w:rsidRPr="00DB7372">
              <w:rPr>
                <w:rFonts w:ascii="Times New Roman" w:eastAsia="標楷體" w:hAnsi="Times New Roman" w:cs="Times New Roman"/>
                <w:sz w:val="28"/>
                <w:szCs w:val="28"/>
                <w:lang w:eastAsia="zh-CN"/>
              </w:rPr>
              <w:t>，一路下</w:t>
            </w:r>
            <w:r w:rsidR="00CE6141" w:rsidRPr="00DB7372">
              <w:rPr>
                <w:rFonts w:ascii="Times New Roman" w:eastAsia="標楷體" w:hAnsi="Times New Roman" w:cs="Times New Roman"/>
                <w:sz w:val="28"/>
                <w:szCs w:val="28"/>
                <w:lang w:eastAsia="zh-CN"/>
              </w:rPr>
              <w:t>滑</w:t>
            </w:r>
            <w:r w:rsidR="004A7989" w:rsidRPr="00DB7372">
              <w:rPr>
                <w:rFonts w:ascii="Times New Roman" w:eastAsia="標楷體" w:hAnsi="Times New Roman" w:cs="Times New Roman"/>
                <w:sz w:val="28"/>
                <w:szCs w:val="28"/>
                <w:lang w:eastAsia="zh-CN"/>
              </w:rPr>
              <w:t>至今年</w:t>
            </w:r>
            <w:r w:rsidR="00BB58E3" w:rsidRPr="00DB7372">
              <w:rPr>
                <w:rFonts w:ascii="Times New Roman" w:eastAsia="標楷體" w:hAnsi="Times New Roman" w:cs="Times New Roman"/>
                <w:sz w:val="28"/>
                <w:szCs w:val="28"/>
                <w:lang w:eastAsia="zh-CN"/>
              </w:rPr>
              <w:t>3</w:t>
            </w:r>
            <w:r w:rsidR="00BB58E3" w:rsidRPr="00DB7372">
              <w:rPr>
                <w:rFonts w:ascii="Times New Roman" w:eastAsia="標楷體" w:hAnsi="Times New Roman" w:cs="Times New Roman"/>
                <w:sz w:val="28"/>
                <w:szCs w:val="28"/>
              </w:rPr>
              <w:t>月</w:t>
            </w:r>
            <w:r w:rsidR="00BA31DF" w:rsidRPr="00DB7372">
              <w:rPr>
                <w:rFonts w:ascii="Times New Roman" w:eastAsia="標楷體" w:hAnsi="Times New Roman" w:cs="Times New Roman"/>
                <w:sz w:val="28"/>
                <w:szCs w:val="28"/>
              </w:rPr>
              <w:t>，</w:t>
            </w:r>
            <w:r w:rsidR="001C2EA3" w:rsidRPr="00DB7372">
              <w:rPr>
                <w:rFonts w:ascii="Times New Roman" w:eastAsia="標楷體" w:hAnsi="Times New Roman" w:cs="Times New Roman"/>
                <w:sz w:val="28"/>
                <w:szCs w:val="28"/>
              </w:rPr>
              <w:t>可說是</w:t>
            </w:r>
            <w:r w:rsidR="00001859" w:rsidRPr="00DB7372">
              <w:rPr>
                <w:rFonts w:ascii="Times New Roman" w:eastAsia="標楷體" w:hAnsi="Times New Roman" w:cs="Times New Roman"/>
                <w:sz w:val="28"/>
                <w:szCs w:val="28"/>
              </w:rPr>
              <w:t>整個</w:t>
            </w:r>
            <w:r w:rsidR="003126E7" w:rsidRPr="003126E7">
              <w:rPr>
                <w:rFonts w:ascii="Times New Roman" w:eastAsia="標楷體" w:hAnsi="Times New Roman" w:cs="Times New Roman" w:hint="eastAsia"/>
                <w:sz w:val="28"/>
                <w:szCs w:val="28"/>
                <w:lang w:eastAsia="zh-CN"/>
              </w:rPr>
              <w:t>復甦</w:t>
            </w:r>
            <w:r w:rsidR="00001859" w:rsidRPr="00DB7372">
              <w:rPr>
                <w:rFonts w:ascii="Times New Roman" w:eastAsia="標楷體" w:hAnsi="Times New Roman" w:cs="Times New Roman"/>
                <w:sz w:val="28"/>
                <w:szCs w:val="28"/>
              </w:rPr>
              <w:t>期</w:t>
            </w:r>
            <w:r w:rsidR="0070518B" w:rsidRPr="00DB7372">
              <w:rPr>
                <w:rFonts w:ascii="Times New Roman" w:eastAsia="標楷體" w:hAnsi="Times New Roman" w:cs="Times New Roman"/>
                <w:sz w:val="28"/>
                <w:szCs w:val="28"/>
              </w:rPr>
              <w:t>迄今</w:t>
            </w:r>
            <w:r w:rsidR="00D5379C" w:rsidRPr="00DB7372">
              <w:rPr>
                <w:rFonts w:ascii="Times New Roman" w:eastAsia="標楷體" w:hAnsi="Times New Roman" w:cs="Times New Roman"/>
                <w:sz w:val="28"/>
                <w:szCs w:val="28"/>
              </w:rPr>
              <w:t>它</w:t>
            </w:r>
            <w:r w:rsidR="0070518B" w:rsidRPr="00DB7372">
              <w:rPr>
                <w:rFonts w:ascii="Times New Roman" w:eastAsia="標楷體" w:hAnsi="Times New Roman" w:cs="Times New Roman"/>
                <w:sz w:val="28"/>
                <w:szCs w:val="28"/>
              </w:rPr>
              <w:t>都在反道而</w:t>
            </w:r>
            <w:r w:rsidR="00D83927" w:rsidRPr="00DB7372">
              <w:rPr>
                <w:rFonts w:ascii="Times New Roman" w:eastAsia="標楷體" w:hAnsi="Times New Roman" w:cs="Times New Roman"/>
                <w:sz w:val="28"/>
                <w:szCs w:val="28"/>
              </w:rPr>
              <w:t>行，這當然很不</w:t>
            </w:r>
            <w:r w:rsidR="00C50579" w:rsidRPr="00DB7372">
              <w:rPr>
                <w:rFonts w:ascii="Times New Roman" w:eastAsia="標楷體" w:hAnsi="Times New Roman" w:cs="Times New Roman"/>
                <w:sz w:val="28"/>
                <w:szCs w:val="28"/>
              </w:rPr>
              <w:t>利於</w:t>
            </w:r>
            <w:r w:rsidR="001D7695" w:rsidRPr="00DB7372">
              <w:rPr>
                <w:rFonts w:ascii="Times New Roman" w:eastAsia="標楷體" w:hAnsi="Times New Roman" w:cs="Times New Roman"/>
                <w:sz w:val="28"/>
                <w:szCs w:val="28"/>
              </w:rPr>
              <w:t>整體景氣</w:t>
            </w:r>
            <w:r w:rsidR="003126E7" w:rsidRPr="003126E7">
              <w:rPr>
                <w:rFonts w:ascii="Times New Roman" w:eastAsia="標楷體" w:hAnsi="Times New Roman" w:cs="Times New Roman" w:hint="eastAsia"/>
                <w:sz w:val="28"/>
                <w:szCs w:val="28"/>
                <w:lang w:eastAsia="zh-CN"/>
              </w:rPr>
              <w:t>復甦</w:t>
            </w:r>
            <w:r w:rsidR="00C50579" w:rsidRPr="00DB7372">
              <w:rPr>
                <w:rFonts w:ascii="Times New Roman" w:eastAsia="標楷體" w:hAnsi="Times New Roman" w:cs="Times New Roman"/>
                <w:sz w:val="28"/>
                <w:szCs w:val="28"/>
              </w:rPr>
              <w:t>的持續力道。</w:t>
            </w:r>
            <w:r w:rsidR="002C29F7" w:rsidRPr="00DB7372">
              <w:rPr>
                <w:rFonts w:ascii="Times New Roman" w:eastAsia="標楷體" w:hAnsi="Times New Roman" w:cs="Times New Roman"/>
                <w:sz w:val="28"/>
                <w:szCs w:val="28"/>
              </w:rPr>
              <w:t>這時候</w:t>
            </w:r>
            <w:r w:rsidR="00B15A3B" w:rsidRPr="00DB7372">
              <w:rPr>
                <w:rFonts w:ascii="Times New Roman" w:eastAsia="標楷體" w:hAnsi="Times New Roman" w:cs="Times New Roman"/>
                <w:sz w:val="28"/>
                <w:szCs w:val="28"/>
                <w:lang w:eastAsia="zh-CN"/>
              </w:rPr>
              <w:t>4</w:t>
            </w:r>
            <w:r w:rsidR="00981B87" w:rsidRPr="00DB7372">
              <w:rPr>
                <w:rFonts w:ascii="Times New Roman" w:eastAsia="標楷體" w:hAnsi="Times New Roman" w:cs="Times New Roman"/>
                <w:sz w:val="28"/>
                <w:szCs w:val="28"/>
              </w:rPr>
              <w:t>月</w:t>
            </w:r>
            <w:r w:rsidR="00DF307D" w:rsidRPr="00DB7372">
              <w:rPr>
                <w:rFonts w:ascii="Times New Roman" w:eastAsia="標楷體" w:hAnsi="Times New Roman" w:cs="Times New Roman"/>
                <w:sz w:val="28"/>
                <w:szCs w:val="28"/>
              </w:rPr>
              <w:t>卻出現</w:t>
            </w:r>
            <w:r w:rsidR="00163E18" w:rsidRPr="00DB7372">
              <w:rPr>
                <w:rFonts w:ascii="Times New Roman" w:eastAsia="標楷體" w:hAnsi="Times New Roman" w:cs="Times New Roman"/>
                <w:sz w:val="28"/>
                <w:szCs w:val="28"/>
              </w:rPr>
              <w:t>止降</w:t>
            </w:r>
            <w:r w:rsidR="00AE4DB7" w:rsidRPr="00DB7372">
              <w:rPr>
                <w:rFonts w:ascii="Times New Roman" w:eastAsia="標楷體" w:hAnsi="Times New Roman" w:cs="Times New Roman"/>
                <w:sz w:val="28"/>
                <w:szCs w:val="28"/>
              </w:rPr>
              <w:t>轉</w:t>
            </w:r>
            <w:r w:rsidR="006201F3" w:rsidRPr="00DB7372">
              <w:rPr>
                <w:rFonts w:ascii="Times New Roman" w:eastAsia="標楷體" w:hAnsi="Times New Roman" w:cs="Times New Roman"/>
                <w:sz w:val="28"/>
                <w:szCs w:val="28"/>
              </w:rPr>
              <w:t>升</w:t>
            </w:r>
            <w:r w:rsidR="00DF307D" w:rsidRPr="00DB7372">
              <w:rPr>
                <w:rFonts w:ascii="Times New Roman" w:eastAsia="標楷體" w:hAnsi="Times New Roman" w:cs="Times New Roman"/>
                <w:sz w:val="28"/>
                <w:szCs w:val="28"/>
              </w:rPr>
              <w:t>的好</w:t>
            </w:r>
            <w:r w:rsidR="00F754B0" w:rsidRPr="00DB7372">
              <w:rPr>
                <w:rFonts w:ascii="Times New Roman" w:eastAsia="標楷體" w:hAnsi="Times New Roman" w:cs="Times New Roman"/>
                <w:sz w:val="28"/>
                <w:szCs w:val="28"/>
              </w:rPr>
              <w:t>兆頭，希望</w:t>
            </w:r>
            <w:r w:rsidR="00C63055" w:rsidRPr="00DB7372">
              <w:rPr>
                <w:rFonts w:ascii="Times New Roman" w:eastAsia="標楷體" w:hAnsi="Times New Roman" w:cs="Times New Roman"/>
                <w:sz w:val="28"/>
                <w:szCs w:val="28"/>
              </w:rPr>
              <w:t>能夠</w:t>
            </w:r>
            <w:r w:rsidR="002C29F7" w:rsidRPr="00DB7372">
              <w:rPr>
                <w:rFonts w:ascii="Times New Roman" w:eastAsia="標楷體" w:hAnsi="Times New Roman" w:cs="Times New Roman"/>
                <w:sz w:val="28"/>
                <w:szCs w:val="28"/>
              </w:rPr>
              <w:t>持續</w:t>
            </w:r>
            <w:r w:rsidR="001D53F5" w:rsidRPr="00DB7372">
              <w:rPr>
                <w:rFonts w:ascii="Times New Roman" w:eastAsia="標楷體" w:hAnsi="Times New Roman" w:cs="Times New Roman"/>
                <w:sz w:val="28"/>
                <w:szCs w:val="28"/>
              </w:rPr>
              <w:t>而成為</w:t>
            </w:r>
            <w:r w:rsidR="00E4319F" w:rsidRPr="00DB7372">
              <w:rPr>
                <w:rFonts w:ascii="Times New Roman" w:eastAsia="標楷體" w:hAnsi="Times New Roman" w:cs="Times New Roman"/>
                <w:sz w:val="28"/>
                <w:szCs w:val="28"/>
              </w:rPr>
              <w:t>一個</w:t>
            </w:r>
            <w:r w:rsidR="003E0E0D" w:rsidRPr="00DB7372">
              <w:rPr>
                <w:rFonts w:ascii="Times New Roman" w:eastAsia="標楷體" w:hAnsi="Times New Roman" w:cs="Times New Roman"/>
                <w:sz w:val="28"/>
                <w:szCs w:val="28"/>
              </w:rPr>
              <w:t>重要的</w:t>
            </w:r>
            <w:r w:rsidR="00C16C6F" w:rsidRPr="00DB7372">
              <w:rPr>
                <w:rFonts w:ascii="Times New Roman" w:eastAsia="標楷體" w:hAnsi="Times New Roman" w:cs="Times New Roman"/>
                <w:sz w:val="28"/>
                <w:szCs w:val="28"/>
              </w:rPr>
              <w:t>抗衰力量。</w:t>
            </w:r>
            <w:r w:rsidR="00517CF4" w:rsidRPr="00DB7372">
              <w:rPr>
                <w:rFonts w:ascii="Times New Roman" w:eastAsia="標楷體" w:hAnsi="Times New Roman" w:cs="Times New Roman"/>
                <w:sz w:val="28"/>
                <w:szCs w:val="28"/>
              </w:rPr>
              <w:t>「固定</w:t>
            </w:r>
            <w:r w:rsidR="003169F0" w:rsidRPr="00DB7372">
              <w:rPr>
                <w:rFonts w:ascii="Times New Roman" w:eastAsia="標楷體" w:hAnsi="Times New Roman" w:cs="Times New Roman"/>
                <w:sz w:val="28"/>
                <w:szCs w:val="28"/>
              </w:rPr>
              <w:t>投資</w:t>
            </w:r>
            <w:r w:rsidR="00517CF4" w:rsidRPr="00DB7372">
              <w:rPr>
                <w:rFonts w:ascii="Times New Roman" w:eastAsia="標楷體" w:hAnsi="Times New Roman" w:cs="Times New Roman"/>
                <w:sz w:val="28"/>
                <w:szCs w:val="28"/>
              </w:rPr>
              <w:t>」</w:t>
            </w:r>
            <w:r w:rsidR="003169F0" w:rsidRPr="00DB7372">
              <w:rPr>
                <w:rFonts w:ascii="Times New Roman" w:eastAsia="標楷體" w:hAnsi="Times New Roman" w:cs="Times New Roman"/>
                <w:sz w:val="28"/>
                <w:szCs w:val="28"/>
              </w:rPr>
              <w:t>本身具有自己的循環</w:t>
            </w:r>
            <w:r w:rsidR="0017289D" w:rsidRPr="00DB7372">
              <w:rPr>
                <w:rFonts w:ascii="Times New Roman" w:eastAsia="標楷體" w:hAnsi="Times New Roman" w:cs="Times New Roman"/>
                <w:sz w:val="28"/>
                <w:szCs w:val="28"/>
              </w:rPr>
              <w:t>型態，</w:t>
            </w:r>
            <w:r w:rsidR="00474BC7" w:rsidRPr="00DB7372">
              <w:rPr>
                <w:rFonts w:ascii="Times New Roman" w:eastAsia="標楷體" w:hAnsi="Times New Roman" w:cs="Times New Roman"/>
                <w:sz w:val="28"/>
                <w:szCs w:val="28"/>
              </w:rPr>
              <w:t>又稱為「主循環」</w:t>
            </w:r>
            <w:r w:rsidR="002253D7" w:rsidRPr="00DB7372">
              <w:rPr>
                <w:rFonts w:ascii="Times New Roman" w:eastAsia="標楷體" w:hAnsi="Times New Roman" w:cs="Times New Roman"/>
                <w:sz w:val="28"/>
                <w:szCs w:val="28"/>
              </w:rPr>
              <w:t>，週期</w:t>
            </w:r>
            <w:r w:rsidR="001747A6" w:rsidRPr="00DB7372">
              <w:rPr>
                <w:rFonts w:ascii="Times New Roman" w:eastAsia="標楷體" w:hAnsi="Times New Roman" w:cs="Times New Roman"/>
                <w:sz w:val="28"/>
                <w:szCs w:val="28"/>
              </w:rPr>
              <w:t>長度通常為小循環的</w:t>
            </w:r>
            <w:r w:rsidR="00785BDB" w:rsidRPr="00DB7372">
              <w:rPr>
                <w:rFonts w:ascii="Times New Roman" w:eastAsia="標楷體" w:hAnsi="Times New Roman" w:cs="Times New Roman"/>
                <w:sz w:val="28"/>
                <w:szCs w:val="28"/>
              </w:rPr>
              <w:t>兩倍。台灣</w:t>
            </w:r>
            <w:r w:rsidR="000E5F80" w:rsidRPr="00DB7372">
              <w:rPr>
                <w:rFonts w:ascii="Times New Roman" w:eastAsia="標楷體" w:hAnsi="Times New Roman" w:cs="Times New Roman"/>
                <w:sz w:val="28"/>
                <w:szCs w:val="28"/>
              </w:rPr>
              <w:t>政府</w:t>
            </w:r>
            <w:r w:rsidR="00785BDB" w:rsidRPr="00DB7372">
              <w:rPr>
                <w:rFonts w:ascii="Times New Roman" w:eastAsia="標楷體" w:hAnsi="Times New Roman" w:cs="Times New Roman"/>
                <w:sz w:val="28"/>
                <w:szCs w:val="28"/>
              </w:rPr>
              <w:t>目前</w:t>
            </w:r>
            <w:r w:rsidR="00C82524" w:rsidRPr="00DB7372">
              <w:rPr>
                <w:rFonts w:ascii="Times New Roman" w:eastAsia="標楷體" w:hAnsi="Times New Roman" w:cs="Times New Roman"/>
                <w:sz w:val="28"/>
                <w:szCs w:val="28"/>
              </w:rPr>
              <w:t>倡導</w:t>
            </w:r>
            <w:r w:rsidR="00FB0844" w:rsidRPr="00DB7372">
              <w:rPr>
                <w:rFonts w:ascii="Times New Roman" w:eastAsia="標楷體" w:hAnsi="Times New Roman" w:cs="Times New Roman"/>
                <w:sz w:val="28"/>
                <w:szCs w:val="28"/>
              </w:rPr>
              <w:t>「</w:t>
            </w:r>
            <w:r w:rsidR="00FB0844" w:rsidRPr="00DB7372">
              <w:rPr>
                <w:rFonts w:ascii="Times New Roman" w:eastAsia="標楷體" w:hAnsi="Times New Roman" w:cs="Times New Roman"/>
                <w:sz w:val="28"/>
                <w:szCs w:val="28"/>
                <w:lang w:eastAsia="zh-CN"/>
              </w:rPr>
              <w:t>5+2</w:t>
            </w:r>
            <w:r w:rsidR="00FB0844" w:rsidRPr="00DB7372">
              <w:rPr>
                <w:rFonts w:ascii="Times New Roman" w:eastAsia="標楷體" w:hAnsi="Times New Roman" w:cs="Times New Roman"/>
                <w:sz w:val="28"/>
                <w:szCs w:val="28"/>
              </w:rPr>
              <w:t>」</w:t>
            </w:r>
            <w:r w:rsidR="0023600D" w:rsidRPr="00DB7372">
              <w:rPr>
                <w:rFonts w:ascii="Times New Roman" w:eastAsia="標楷體" w:hAnsi="Times New Roman" w:cs="Times New Roman"/>
                <w:sz w:val="28"/>
                <w:szCs w:val="28"/>
              </w:rPr>
              <w:t>及亞洲</w:t>
            </w:r>
            <w:r w:rsidR="003126E7">
              <w:rPr>
                <w:rFonts w:ascii="Times New Roman" w:eastAsia="標楷體" w:hAnsi="Times New Roman" w:cs="Times New Roman" w:hint="eastAsia"/>
                <w:sz w:val="28"/>
                <w:szCs w:val="28"/>
              </w:rPr>
              <w:t>、</w:t>
            </w:r>
            <w:r w:rsidR="007F554E" w:rsidRPr="00DB7372">
              <w:rPr>
                <w:rFonts w:ascii="Times New Roman" w:eastAsia="標楷體" w:hAnsi="Times New Roman" w:cs="Times New Roman"/>
                <w:sz w:val="28"/>
                <w:szCs w:val="28"/>
              </w:rPr>
              <w:t>矽谷</w:t>
            </w:r>
            <w:r w:rsidR="00A06A67" w:rsidRPr="00DB7372">
              <w:rPr>
                <w:rFonts w:ascii="Times New Roman" w:eastAsia="標楷體" w:hAnsi="Times New Roman" w:cs="Times New Roman"/>
                <w:sz w:val="28"/>
                <w:szCs w:val="28"/>
              </w:rPr>
              <w:t>等</w:t>
            </w:r>
            <w:r w:rsidR="007F554E" w:rsidRPr="00DB7372">
              <w:rPr>
                <w:rFonts w:ascii="Times New Roman" w:eastAsia="標楷體" w:hAnsi="Times New Roman" w:cs="Times New Roman"/>
                <w:sz w:val="28"/>
                <w:szCs w:val="28"/>
              </w:rPr>
              <w:t>邁向</w:t>
            </w:r>
            <w:r w:rsidR="00A06A67" w:rsidRPr="00DB7372">
              <w:rPr>
                <w:rFonts w:ascii="Times New Roman" w:eastAsia="標楷體" w:hAnsi="Times New Roman" w:cs="Times New Roman"/>
                <w:sz w:val="28"/>
                <w:szCs w:val="28"/>
              </w:rPr>
              <w:t>新</w:t>
            </w:r>
            <w:r w:rsidR="00707A47" w:rsidRPr="00DB7372">
              <w:rPr>
                <w:rFonts w:ascii="Times New Roman" w:eastAsia="標楷體" w:hAnsi="Times New Roman" w:cs="Times New Roman"/>
                <w:sz w:val="28"/>
                <w:szCs w:val="28"/>
              </w:rPr>
              <w:t>的</w:t>
            </w:r>
            <w:r w:rsidR="007F554E" w:rsidRPr="00DB7372">
              <w:rPr>
                <w:rFonts w:ascii="Times New Roman" w:eastAsia="標楷體" w:hAnsi="Times New Roman" w:cs="Times New Roman"/>
                <w:sz w:val="28"/>
                <w:szCs w:val="28"/>
              </w:rPr>
              <w:t>經濟</w:t>
            </w:r>
            <w:r w:rsidR="0039670C" w:rsidRPr="00DB7372">
              <w:rPr>
                <w:rFonts w:ascii="Times New Roman" w:eastAsia="標楷體" w:hAnsi="Times New Roman" w:cs="Times New Roman"/>
                <w:sz w:val="28"/>
                <w:szCs w:val="28"/>
              </w:rPr>
              <w:t>策略</w:t>
            </w:r>
            <w:r w:rsidR="00054018" w:rsidRPr="00DB7372">
              <w:rPr>
                <w:rFonts w:ascii="Times New Roman" w:eastAsia="標楷體" w:hAnsi="Times New Roman" w:cs="Times New Roman"/>
                <w:sz w:val="28"/>
                <w:szCs w:val="28"/>
              </w:rPr>
              <w:t>有助於固定投資的促進</w:t>
            </w:r>
            <w:r w:rsidR="00261ACF" w:rsidRPr="00DB7372">
              <w:rPr>
                <w:rFonts w:ascii="Times New Roman" w:eastAsia="標楷體" w:hAnsi="Times New Roman" w:cs="Times New Roman"/>
                <w:sz w:val="28"/>
                <w:szCs w:val="28"/>
              </w:rPr>
              <w:t>，</w:t>
            </w:r>
            <w:r w:rsidR="00733CD8" w:rsidRPr="00DB7372">
              <w:rPr>
                <w:rFonts w:ascii="Times New Roman" w:eastAsia="標楷體" w:hAnsi="Times New Roman" w:cs="Times New Roman"/>
                <w:sz w:val="28"/>
                <w:szCs w:val="28"/>
              </w:rPr>
              <w:t>宜</w:t>
            </w:r>
            <w:r w:rsidR="00C82524" w:rsidRPr="00DB7372">
              <w:rPr>
                <w:rFonts w:ascii="Times New Roman" w:eastAsia="標楷體" w:hAnsi="Times New Roman" w:cs="Times New Roman"/>
                <w:sz w:val="28"/>
                <w:szCs w:val="28"/>
              </w:rPr>
              <w:t>強</w:t>
            </w:r>
            <w:r w:rsidR="00707A47" w:rsidRPr="00DB7372">
              <w:rPr>
                <w:rFonts w:ascii="Times New Roman" w:eastAsia="標楷體" w:hAnsi="Times New Roman" w:cs="Times New Roman"/>
                <w:sz w:val="28"/>
                <w:szCs w:val="28"/>
              </w:rPr>
              <w:t>加鼓勵</w:t>
            </w:r>
            <w:r w:rsidR="00733CD8" w:rsidRPr="00DB7372">
              <w:rPr>
                <w:rFonts w:ascii="Times New Roman" w:eastAsia="標楷體" w:hAnsi="Times New Roman" w:cs="Times New Roman"/>
                <w:sz w:val="28"/>
                <w:szCs w:val="28"/>
              </w:rPr>
              <w:t>力</w:t>
            </w:r>
            <w:r w:rsidR="00446430" w:rsidRPr="00DB7372">
              <w:rPr>
                <w:rFonts w:ascii="Times New Roman" w:eastAsia="標楷體" w:hAnsi="Times New Roman" w:cs="Times New Roman"/>
                <w:sz w:val="28"/>
                <w:szCs w:val="28"/>
              </w:rPr>
              <w:t>為</w:t>
            </w:r>
            <w:r w:rsidR="00733CD8" w:rsidRPr="00DB7372">
              <w:rPr>
                <w:rFonts w:ascii="Times New Roman" w:eastAsia="標楷體" w:hAnsi="Times New Roman" w:cs="Times New Roman"/>
                <w:sz w:val="28"/>
                <w:szCs w:val="28"/>
              </w:rPr>
              <w:t>執行</w:t>
            </w:r>
            <w:r w:rsidR="008353C6" w:rsidRPr="00DB7372">
              <w:rPr>
                <w:rFonts w:ascii="Times New Roman" w:eastAsia="標楷體" w:hAnsi="Times New Roman" w:cs="Times New Roman"/>
                <w:sz w:val="28"/>
                <w:szCs w:val="28"/>
              </w:rPr>
              <w:t>促其</w:t>
            </w:r>
            <w:r w:rsidR="00733CD8" w:rsidRPr="00DB7372">
              <w:rPr>
                <w:rFonts w:ascii="Times New Roman" w:eastAsia="標楷體" w:hAnsi="Times New Roman" w:cs="Times New Roman"/>
                <w:sz w:val="28"/>
                <w:szCs w:val="28"/>
              </w:rPr>
              <w:t>實現</w:t>
            </w:r>
            <w:r w:rsidR="0039670C" w:rsidRPr="00DB7372">
              <w:rPr>
                <w:rFonts w:ascii="Times New Roman" w:eastAsia="標楷體" w:hAnsi="Times New Roman" w:cs="Times New Roman"/>
                <w:sz w:val="28"/>
                <w:szCs w:val="28"/>
              </w:rPr>
              <w:t>。</w:t>
            </w:r>
          </w:p>
          <w:p w14:paraId="6210F020" w14:textId="77777777" w:rsidR="007F37B3" w:rsidRPr="00DB7372" w:rsidRDefault="00360619" w:rsidP="00E300BA">
            <w:pPr>
              <w:adjustRightInd w:val="0"/>
              <w:ind w:firstLineChars="200" w:firstLine="560"/>
              <w:rPr>
                <w:rFonts w:ascii="Times New Roman" w:eastAsia="標楷體" w:hAnsi="Times New Roman" w:cs="Times New Roman"/>
                <w:sz w:val="28"/>
                <w:szCs w:val="28"/>
              </w:rPr>
            </w:pPr>
            <w:r w:rsidRPr="00DB7372">
              <w:rPr>
                <w:rFonts w:ascii="Times New Roman" w:eastAsia="標楷體" w:hAnsi="Times New Roman" w:cs="Times New Roman"/>
                <w:sz w:val="28"/>
                <w:szCs w:val="28"/>
                <w:lang w:eastAsia="zh-CN"/>
              </w:rPr>
              <w:lastRenderedPageBreak/>
              <w:t>2.</w:t>
            </w:r>
            <w:r w:rsidR="00EA33CE" w:rsidRPr="00DB7372">
              <w:rPr>
                <w:rFonts w:ascii="Times New Roman" w:eastAsia="標楷體" w:hAnsi="Times New Roman" w:cs="Times New Roman"/>
                <w:sz w:val="28"/>
                <w:szCs w:val="28"/>
              </w:rPr>
              <w:t>《</w:t>
            </w:r>
            <w:r w:rsidR="0016649D" w:rsidRPr="00DB7372">
              <w:rPr>
                <w:rFonts w:ascii="Times New Roman" w:eastAsia="標楷體" w:hAnsi="Times New Roman" w:cs="Times New Roman"/>
                <w:sz w:val="28"/>
                <w:szCs w:val="28"/>
              </w:rPr>
              <w:t>失</w:t>
            </w:r>
            <w:r w:rsidR="00207740" w:rsidRPr="00DB7372">
              <w:rPr>
                <w:rFonts w:ascii="Times New Roman" w:eastAsia="標楷體" w:hAnsi="Times New Roman" w:cs="Times New Roman"/>
                <w:sz w:val="28"/>
                <w:szCs w:val="28"/>
              </w:rPr>
              <w:t>業給付初次認定受</w:t>
            </w:r>
            <w:r w:rsidR="009B012E" w:rsidRPr="00DB7372">
              <w:rPr>
                <w:rFonts w:ascii="Times New Roman" w:eastAsia="標楷體" w:hAnsi="Times New Roman" w:cs="Times New Roman"/>
                <w:sz w:val="28"/>
                <w:szCs w:val="28"/>
              </w:rPr>
              <w:t>理件數（倒數）</w:t>
            </w:r>
            <w:r w:rsidR="00EA33CE" w:rsidRPr="00DB7372">
              <w:rPr>
                <w:rFonts w:ascii="Times New Roman" w:eastAsia="標楷體" w:hAnsi="Times New Roman" w:cs="Times New Roman"/>
                <w:sz w:val="28"/>
                <w:szCs w:val="28"/>
              </w:rPr>
              <w:t>》</w:t>
            </w:r>
            <w:r w:rsidR="00CB6646" w:rsidRPr="00DB7372">
              <w:rPr>
                <w:rFonts w:ascii="Times New Roman" w:eastAsia="標楷體" w:hAnsi="Times New Roman" w:cs="Times New Roman"/>
                <w:sz w:val="28"/>
                <w:szCs w:val="28"/>
              </w:rPr>
              <w:t>循環指數</w:t>
            </w:r>
            <w:r w:rsidR="001B11D3" w:rsidRPr="00DB7372">
              <w:rPr>
                <w:rFonts w:ascii="Times New Roman" w:eastAsia="標楷體" w:hAnsi="Times New Roman" w:cs="Times New Roman"/>
                <w:sz w:val="28"/>
                <w:szCs w:val="28"/>
              </w:rPr>
              <w:t>經</w:t>
            </w:r>
            <w:r w:rsidR="00062A71" w:rsidRPr="00DB7372">
              <w:rPr>
                <w:rFonts w:ascii="Times New Roman" w:eastAsia="標楷體" w:hAnsi="Times New Roman" w:cs="Times New Roman"/>
                <w:sz w:val="28"/>
                <w:szCs w:val="28"/>
              </w:rPr>
              <w:t>八個月</w:t>
            </w:r>
            <w:r w:rsidR="007F4560" w:rsidRPr="00DB7372">
              <w:rPr>
                <w:rFonts w:ascii="Times New Roman" w:eastAsia="標楷體" w:hAnsi="Times New Roman" w:cs="Times New Roman"/>
                <w:sz w:val="28"/>
                <w:szCs w:val="28"/>
              </w:rPr>
              <w:t>改善</w:t>
            </w:r>
            <w:r w:rsidR="0081649E" w:rsidRPr="00DB7372">
              <w:rPr>
                <w:rFonts w:ascii="Times New Roman" w:eastAsia="標楷體" w:hAnsi="Times New Roman" w:cs="Times New Roman"/>
                <w:sz w:val="28"/>
                <w:szCs w:val="28"/>
              </w:rPr>
              <w:t>後</w:t>
            </w:r>
            <w:r w:rsidR="009B012E" w:rsidRPr="00DB7372">
              <w:rPr>
                <w:rFonts w:ascii="Times New Roman" w:eastAsia="標楷體" w:hAnsi="Times New Roman" w:cs="Times New Roman"/>
                <w:sz w:val="28"/>
                <w:szCs w:val="28"/>
              </w:rPr>
              <w:t>在</w:t>
            </w:r>
            <w:r w:rsidR="009B012E" w:rsidRPr="00DB7372">
              <w:rPr>
                <w:rFonts w:ascii="Times New Roman" w:eastAsia="標楷體" w:hAnsi="Times New Roman" w:cs="Times New Roman"/>
                <w:sz w:val="28"/>
                <w:szCs w:val="28"/>
                <w:lang w:eastAsia="zh-CN"/>
              </w:rPr>
              <w:t>2</w:t>
            </w:r>
            <w:r w:rsidR="00913F55" w:rsidRPr="00DB7372">
              <w:rPr>
                <w:rFonts w:ascii="Times New Roman" w:eastAsia="標楷體" w:hAnsi="Times New Roman" w:cs="Times New Roman"/>
                <w:sz w:val="28"/>
                <w:szCs w:val="28"/>
              </w:rPr>
              <w:t>月及</w:t>
            </w:r>
            <w:r w:rsidR="00913F55" w:rsidRPr="00DB7372">
              <w:rPr>
                <w:rFonts w:ascii="Times New Roman" w:eastAsia="標楷體" w:hAnsi="Times New Roman" w:cs="Times New Roman"/>
                <w:sz w:val="28"/>
                <w:szCs w:val="28"/>
                <w:lang w:eastAsia="zh-CN"/>
              </w:rPr>
              <w:t>3</w:t>
            </w:r>
            <w:r w:rsidR="00913F55" w:rsidRPr="00DB7372">
              <w:rPr>
                <w:rFonts w:ascii="Times New Roman" w:eastAsia="標楷體" w:hAnsi="Times New Roman" w:cs="Times New Roman"/>
                <w:sz w:val="28"/>
                <w:szCs w:val="28"/>
              </w:rPr>
              <w:t>月出現</w:t>
            </w:r>
            <w:r w:rsidR="0081649E" w:rsidRPr="00DB7372">
              <w:rPr>
                <w:rFonts w:ascii="Times New Roman" w:eastAsia="標楷體" w:hAnsi="Times New Roman" w:cs="Times New Roman"/>
                <w:sz w:val="28"/>
                <w:szCs w:val="28"/>
              </w:rPr>
              <w:t>轉壞</w:t>
            </w:r>
            <w:r w:rsidR="00F45939" w:rsidRPr="00DB7372">
              <w:rPr>
                <w:rFonts w:ascii="Times New Roman" w:eastAsia="標楷體" w:hAnsi="Times New Roman" w:cs="Times New Roman"/>
                <w:sz w:val="28"/>
                <w:szCs w:val="28"/>
              </w:rPr>
              <w:t>，</w:t>
            </w:r>
            <w:r w:rsidR="005122D7" w:rsidRPr="00DB7372">
              <w:rPr>
                <w:rFonts w:ascii="Times New Roman" w:eastAsia="標楷體" w:hAnsi="Times New Roman" w:cs="Times New Roman"/>
                <w:sz w:val="28"/>
                <w:szCs w:val="28"/>
              </w:rPr>
              <w:t>這個</w:t>
            </w:r>
            <w:r w:rsidR="00044B30" w:rsidRPr="00DB7372">
              <w:rPr>
                <w:rFonts w:ascii="Times New Roman" w:eastAsia="標楷體" w:hAnsi="Times New Roman" w:cs="Times New Roman"/>
                <w:sz w:val="28"/>
                <w:szCs w:val="28"/>
              </w:rPr>
              <w:t>具有</w:t>
            </w:r>
            <w:r w:rsidR="00EA09BD" w:rsidRPr="00DB7372">
              <w:rPr>
                <w:rFonts w:ascii="Times New Roman" w:eastAsia="標楷體" w:hAnsi="Times New Roman" w:cs="Times New Roman"/>
                <w:sz w:val="28"/>
                <w:szCs w:val="28"/>
              </w:rPr>
              <w:t>景氣</w:t>
            </w:r>
            <w:r w:rsidR="00044B30" w:rsidRPr="00DB7372">
              <w:rPr>
                <w:rFonts w:ascii="Times New Roman" w:eastAsia="標楷體" w:hAnsi="Times New Roman" w:cs="Times New Roman"/>
                <w:sz w:val="28"/>
                <w:szCs w:val="28"/>
              </w:rPr>
              <w:t>領先走勢的</w:t>
            </w:r>
            <w:r w:rsidR="004136F5" w:rsidRPr="00DB7372">
              <w:rPr>
                <w:rFonts w:ascii="Times New Roman" w:eastAsia="標楷體" w:hAnsi="Times New Roman" w:cs="Times New Roman"/>
                <w:sz w:val="28"/>
                <w:szCs w:val="28"/>
              </w:rPr>
              <w:t>指標，也預兆</w:t>
            </w:r>
            <w:r w:rsidR="003C6210" w:rsidRPr="00DB7372">
              <w:rPr>
                <w:rFonts w:ascii="Times New Roman" w:eastAsia="標楷體" w:hAnsi="Times New Roman" w:cs="Times New Roman"/>
                <w:sz w:val="28"/>
                <w:szCs w:val="28"/>
              </w:rPr>
              <w:t>著</w:t>
            </w:r>
            <w:r w:rsidR="004136F5" w:rsidRPr="00DB7372">
              <w:rPr>
                <w:rFonts w:ascii="Times New Roman" w:eastAsia="標楷體" w:hAnsi="Times New Roman" w:cs="Times New Roman"/>
                <w:sz w:val="28"/>
                <w:szCs w:val="28"/>
              </w:rPr>
              <w:t>未</w:t>
            </w:r>
            <w:r w:rsidR="003C6210" w:rsidRPr="00DB7372">
              <w:rPr>
                <w:rFonts w:ascii="Times New Roman" w:eastAsia="標楷體" w:hAnsi="Times New Roman" w:cs="Times New Roman"/>
                <w:sz w:val="28"/>
                <w:szCs w:val="28"/>
              </w:rPr>
              <w:t>來失業率</w:t>
            </w:r>
            <w:r w:rsidR="00B3503C" w:rsidRPr="00DB7372">
              <w:rPr>
                <w:rFonts w:ascii="Times New Roman" w:eastAsia="標楷體" w:hAnsi="Times New Roman" w:cs="Times New Roman"/>
                <w:sz w:val="28"/>
                <w:szCs w:val="28"/>
              </w:rPr>
              <w:t>的</w:t>
            </w:r>
            <w:r w:rsidR="003C6210" w:rsidRPr="00DB7372">
              <w:rPr>
                <w:rFonts w:ascii="Times New Roman" w:eastAsia="標楷體" w:hAnsi="Times New Roman" w:cs="Times New Roman"/>
                <w:sz w:val="28"/>
                <w:szCs w:val="28"/>
              </w:rPr>
              <w:t>走勢</w:t>
            </w:r>
            <w:r w:rsidR="00B3503C" w:rsidRPr="00DB7372">
              <w:rPr>
                <w:rFonts w:ascii="Times New Roman" w:eastAsia="標楷體" w:hAnsi="Times New Roman" w:cs="Times New Roman"/>
                <w:sz w:val="28"/>
                <w:szCs w:val="28"/>
              </w:rPr>
              <w:t>（註</w:t>
            </w:r>
            <w:r w:rsidR="00FA5F99" w:rsidRPr="00DB7372">
              <w:rPr>
                <w:rFonts w:ascii="Times New Roman" w:eastAsia="標楷體" w:hAnsi="Times New Roman" w:cs="Times New Roman"/>
                <w:sz w:val="28"/>
                <w:szCs w:val="28"/>
                <w:lang w:eastAsia="zh-CN"/>
              </w:rPr>
              <w:t>:</w:t>
            </w:r>
            <w:r w:rsidR="00FA5F99" w:rsidRPr="00DB7372">
              <w:rPr>
                <w:rFonts w:ascii="Times New Roman" w:eastAsia="標楷體" w:hAnsi="Times New Roman" w:cs="Times New Roman"/>
                <w:sz w:val="28"/>
                <w:szCs w:val="28"/>
              </w:rPr>
              <w:t>失業率通常是落後指標，</w:t>
            </w:r>
            <w:r w:rsidR="003F3EC5" w:rsidRPr="00DB7372">
              <w:rPr>
                <w:rFonts w:ascii="Times New Roman" w:eastAsia="標楷體" w:hAnsi="Times New Roman" w:cs="Times New Roman"/>
                <w:sz w:val="28"/>
                <w:szCs w:val="28"/>
              </w:rPr>
              <w:t>走在生產</w:t>
            </w:r>
            <w:r w:rsidR="005B3E7F" w:rsidRPr="00DB7372">
              <w:rPr>
                <w:rFonts w:ascii="Times New Roman" w:eastAsia="標楷體" w:hAnsi="Times New Roman" w:cs="Times New Roman"/>
                <w:sz w:val="28"/>
                <w:szCs w:val="28"/>
              </w:rPr>
              <w:t>、</w:t>
            </w:r>
            <w:r w:rsidR="003F3EC5" w:rsidRPr="00DB7372">
              <w:rPr>
                <w:rFonts w:ascii="Times New Roman" w:eastAsia="標楷體" w:hAnsi="Times New Roman" w:cs="Times New Roman"/>
                <w:sz w:val="28"/>
                <w:szCs w:val="28"/>
              </w:rPr>
              <w:t>消費</w:t>
            </w:r>
            <w:r w:rsidR="005B3E7F" w:rsidRPr="00DB7372">
              <w:rPr>
                <w:rFonts w:ascii="Times New Roman" w:eastAsia="標楷體" w:hAnsi="Times New Roman" w:cs="Times New Roman"/>
                <w:sz w:val="28"/>
                <w:szCs w:val="28"/>
              </w:rPr>
              <w:t>與</w:t>
            </w:r>
            <w:r w:rsidR="003F3EC5" w:rsidRPr="00DB7372">
              <w:rPr>
                <w:rFonts w:ascii="Times New Roman" w:eastAsia="標楷體" w:hAnsi="Times New Roman" w:cs="Times New Roman"/>
                <w:sz w:val="28"/>
                <w:szCs w:val="28"/>
              </w:rPr>
              <w:t>就業的指標之後</w:t>
            </w:r>
            <w:r w:rsidR="005B3E7F" w:rsidRPr="00DB7372">
              <w:rPr>
                <w:rFonts w:ascii="Times New Roman" w:eastAsia="標楷體" w:hAnsi="Times New Roman" w:cs="Times New Roman"/>
                <w:sz w:val="28"/>
                <w:szCs w:val="28"/>
              </w:rPr>
              <w:t>）</w:t>
            </w:r>
            <w:r w:rsidR="003F3EC5" w:rsidRPr="00DB7372">
              <w:rPr>
                <w:rFonts w:ascii="Times New Roman" w:eastAsia="標楷體" w:hAnsi="Times New Roman" w:cs="Times New Roman"/>
                <w:sz w:val="28"/>
                <w:szCs w:val="28"/>
              </w:rPr>
              <w:t>。</w:t>
            </w:r>
          </w:p>
          <w:p w14:paraId="172E633D" w14:textId="746C5219" w:rsidR="00255077" w:rsidRPr="00DB7372" w:rsidRDefault="00BD19EB" w:rsidP="00E300BA">
            <w:pPr>
              <w:adjustRightInd w:val="0"/>
              <w:ind w:firstLineChars="200" w:firstLine="560"/>
              <w:rPr>
                <w:rFonts w:ascii="Times New Roman" w:eastAsia="標楷體" w:hAnsi="Times New Roman" w:cs="Times New Roman"/>
                <w:sz w:val="28"/>
                <w:szCs w:val="28"/>
              </w:rPr>
            </w:pPr>
            <w:r w:rsidRPr="00DB7372">
              <w:rPr>
                <w:rFonts w:ascii="Times New Roman" w:eastAsia="標楷體" w:hAnsi="Times New Roman" w:cs="Times New Roman"/>
                <w:sz w:val="28"/>
                <w:szCs w:val="28"/>
                <w:lang w:eastAsia="zh-CN"/>
              </w:rPr>
              <w:t>3.</w:t>
            </w:r>
            <w:r w:rsidR="00EA33CE" w:rsidRPr="00DB7372">
              <w:rPr>
                <w:rFonts w:ascii="Times New Roman" w:eastAsia="標楷體" w:hAnsi="Times New Roman" w:cs="Times New Roman"/>
                <w:sz w:val="28"/>
                <w:szCs w:val="28"/>
              </w:rPr>
              <w:t>《</w:t>
            </w:r>
            <w:r w:rsidR="00F45939" w:rsidRPr="00DB7372">
              <w:rPr>
                <w:rFonts w:ascii="Times New Roman" w:eastAsia="標楷體" w:hAnsi="Times New Roman" w:cs="Times New Roman"/>
                <w:sz w:val="28"/>
                <w:szCs w:val="28"/>
              </w:rPr>
              <w:t>商業服務業</w:t>
            </w:r>
            <w:r w:rsidR="009E1B39" w:rsidRPr="00DB7372">
              <w:rPr>
                <w:rFonts w:ascii="Times New Roman" w:eastAsia="標楷體" w:hAnsi="Times New Roman" w:cs="Times New Roman"/>
                <w:sz w:val="28"/>
                <w:szCs w:val="28"/>
              </w:rPr>
              <w:t>僱用淨</w:t>
            </w:r>
            <w:r w:rsidR="00AA7BCF" w:rsidRPr="00DB7372">
              <w:rPr>
                <w:rFonts w:ascii="Times New Roman" w:eastAsia="標楷體" w:hAnsi="Times New Roman" w:cs="Times New Roman"/>
                <w:sz w:val="28"/>
                <w:szCs w:val="28"/>
              </w:rPr>
              <w:t>進入率</w:t>
            </w:r>
            <w:r w:rsidR="00EA33CE" w:rsidRPr="00DB7372">
              <w:rPr>
                <w:rFonts w:ascii="Times New Roman" w:eastAsia="標楷體" w:hAnsi="Times New Roman" w:cs="Times New Roman"/>
                <w:sz w:val="28"/>
                <w:szCs w:val="28"/>
              </w:rPr>
              <w:t>》</w:t>
            </w:r>
            <w:r w:rsidR="00CB6646" w:rsidRPr="00DB7372">
              <w:rPr>
                <w:rFonts w:ascii="Times New Roman" w:eastAsia="標楷體" w:hAnsi="Times New Roman" w:cs="Times New Roman"/>
                <w:sz w:val="28"/>
                <w:szCs w:val="28"/>
              </w:rPr>
              <w:t>循環指數</w:t>
            </w:r>
            <w:r w:rsidR="00576D3A" w:rsidRPr="00DB7372">
              <w:rPr>
                <w:rFonts w:ascii="Times New Roman" w:eastAsia="標楷體" w:hAnsi="Times New Roman" w:cs="Times New Roman"/>
                <w:sz w:val="28"/>
                <w:szCs w:val="28"/>
              </w:rPr>
              <w:t>本身</w:t>
            </w:r>
            <w:r w:rsidR="00D160D9" w:rsidRPr="00DB7372">
              <w:rPr>
                <w:rFonts w:ascii="Times New Roman" w:eastAsia="標楷體" w:hAnsi="Times New Roman" w:cs="Times New Roman"/>
                <w:sz w:val="28"/>
                <w:szCs w:val="28"/>
              </w:rPr>
              <w:t>波動性較</w:t>
            </w:r>
            <w:r w:rsidR="00FD1C9E" w:rsidRPr="00DB7372">
              <w:rPr>
                <w:rFonts w:ascii="Times New Roman" w:eastAsia="標楷體" w:hAnsi="Times New Roman" w:cs="Times New Roman"/>
                <w:sz w:val="28"/>
                <w:szCs w:val="28"/>
              </w:rPr>
              <w:t>大，</w:t>
            </w:r>
            <w:r w:rsidR="0085664A" w:rsidRPr="00DB7372">
              <w:rPr>
                <w:rFonts w:ascii="Times New Roman" w:eastAsia="標楷體" w:hAnsi="Times New Roman" w:cs="Times New Roman"/>
                <w:sz w:val="28"/>
                <w:szCs w:val="28"/>
                <w:lang w:eastAsia="zh-CN"/>
              </w:rPr>
              <w:t>2016/10</w:t>
            </w:r>
            <w:r w:rsidR="008C15CC" w:rsidRPr="00DB7372">
              <w:rPr>
                <w:rFonts w:ascii="Times New Roman" w:eastAsia="標楷體" w:hAnsi="Times New Roman" w:cs="Times New Roman"/>
                <w:sz w:val="28"/>
                <w:szCs w:val="28"/>
                <w:lang w:eastAsia="zh-CN"/>
              </w:rPr>
              <w:t>帶頭</w:t>
            </w:r>
            <w:r w:rsidR="003126E7" w:rsidRPr="003126E7">
              <w:rPr>
                <w:rFonts w:ascii="Times New Roman" w:eastAsia="標楷體" w:hAnsi="Times New Roman" w:cs="Times New Roman" w:hint="eastAsia"/>
                <w:sz w:val="28"/>
                <w:szCs w:val="28"/>
                <w:lang w:eastAsia="zh-CN"/>
              </w:rPr>
              <w:t>復甦</w:t>
            </w:r>
            <w:r w:rsidR="008C15CC" w:rsidRPr="00DB7372">
              <w:rPr>
                <w:rFonts w:ascii="Times New Roman" w:eastAsia="標楷體" w:hAnsi="Times New Roman" w:cs="Times New Roman"/>
                <w:sz w:val="28"/>
                <w:szCs w:val="28"/>
                <w:lang w:eastAsia="zh-CN"/>
              </w:rPr>
              <w:t>，卻於</w:t>
            </w:r>
            <w:r w:rsidR="002808E3" w:rsidRPr="00DB7372">
              <w:rPr>
                <w:rFonts w:ascii="Times New Roman" w:eastAsia="標楷體" w:hAnsi="Times New Roman" w:cs="Times New Roman"/>
                <w:sz w:val="28"/>
                <w:szCs w:val="28"/>
                <w:lang w:eastAsia="zh-CN"/>
              </w:rPr>
              <w:t>2017/</w:t>
            </w:r>
            <w:r w:rsidR="00DB6184" w:rsidRPr="00DB7372">
              <w:rPr>
                <w:rFonts w:ascii="Times New Roman" w:eastAsia="標楷體" w:hAnsi="Times New Roman" w:cs="Times New Roman"/>
                <w:sz w:val="28"/>
                <w:szCs w:val="28"/>
                <w:lang w:eastAsia="zh-CN"/>
              </w:rPr>
              <w:t>5</w:t>
            </w:r>
            <w:r w:rsidR="00DB6184" w:rsidRPr="00DB7372">
              <w:rPr>
                <w:rFonts w:ascii="Times New Roman" w:eastAsia="標楷體" w:hAnsi="Times New Roman" w:cs="Times New Roman"/>
                <w:sz w:val="28"/>
                <w:szCs w:val="28"/>
                <w:lang w:eastAsia="zh-CN"/>
              </w:rPr>
              <w:t>月</w:t>
            </w:r>
            <w:r w:rsidR="00C760B5" w:rsidRPr="00DB7372">
              <w:rPr>
                <w:rFonts w:ascii="Times New Roman" w:eastAsia="標楷體" w:hAnsi="Times New Roman" w:cs="Times New Roman"/>
                <w:sz w:val="28"/>
                <w:szCs w:val="28"/>
                <w:lang w:eastAsia="zh-CN"/>
              </w:rPr>
              <w:t>轉降，</w:t>
            </w:r>
            <w:r w:rsidR="00AD0720" w:rsidRPr="00DB7372">
              <w:rPr>
                <w:rFonts w:ascii="Times New Roman" w:eastAsia="標楷體" w:hAnsi="Times New Roman" w:cs="Times New Roman"/>
                <w:sz w:val="28"/>
                <w:szCs w:val="28"/>
                <w:lang w:eastAsia="zh-CN"/>
              </w:rPr>
              <w:t>2017/10</w:t>
            </w:r>
            <w:r w:rsidR="00AD0720" w:rsidRPr="00DB7372">
              <w:rPr>
                <w:rFonts w:ascii="Times New Roman" w:eastAsia="標楷體" w:hAnsi="Times New Roman" w:cs="Times New Roman"/>
                <w:sz w:val="28"/>
                <w:szCs w:val="28"/>
                <w:lang w:eastAsia="zh-CN"/>
              </w:rPr>
              <w:t>又轉升，</w:t>
            </w:r>
            <w:r w:rsidR="00DF46EC" w:rsidRPr="00DB7372">
              <w:rPr>
                <w:rFonts w:ascii="Times New Roman" w:eastAsia="標楷體" w:hAnsi="Times New Roman" w:cs="Times New Roman"/>
                <w:sz w:val="28"/>
                <w:szCs w:val="28"/>
                <w:lang w:eastAsia="zh-CN"/>
              </w:rPr>
              <w:t>2018/2</w:t>
            </w:r>
            <w:r w:rsidR="00DF46EC" w:rsidRPr="00DB7372">
              <w:rPr>
                <w:rFonts w:ascii="Times New Roman" w:eastAsia="標楷體" w:hAnsi="Times New Roman" w:cs="Times New Roman"/>
                <w:sz w:val="28"/>
                <w:szCs w:val="28"/>
                <w:lang w:eastAsia="zh-CN"/>
              </w:rPr>
              <w:t>又轉降</w:t>
            </w:r>
            <w:r w:rsidR="00680CF3" w:rsidRPr="00DB7372">
              <w:rPr>
                <w:rFonts w:ascii="Times New Roman" w:eastAsia="標楷體" w:hAnsi="Times New Roman" w:cs="Times New Roman"/>
                <w:sz w:val="28"/>
                <w:szCs w:val="28"/>
              </w:rPr>
              <w:t>，</w:t>
            </w:r>
            <w:r w:rsidR="00680CF3" w:rsidRPr="00DB7372">
              <w:rPr>
                <w:rFonts w:ascii="Times New Roman" w:eastAsia="標楷體" w:hAnsi="Times New Roman" w:cs="Times New Roman"/>
                <w:sz w:val="28"/>
                <w:szCs w:val="28"/>
                <w:lang w:eastAsia="zh-CN"/>
              </w:rPr>
              <w:t>4</w:t>
            </w:r>
            <w:r w:rsidR="00680CF3" w:rsidRPr="00DB7372">
              <w:rPr>
                <w:rFonts w:ascii="Times New Roman" w:eastAsia="標楷體" w:hAnsi="Times New Roman" w:cs="Times New Roman"/>
                <w:sz w:val="28"/>
                <w:szCs w:val="28"/>
              </w:rPr>
              <w:t>月</w:t>
            </w:r>
            <w:r w:rsidR="00AC5371" w:rsidRPr="00DB7372">
              <w:rPr>
                <w:rFonts w:ascii="Times New Roman" w:eastAsia="標楷體" w:hAnsi="Times New Roman" w:cs="Times New Roman"/>
                <w:sz w:val="28"/>
                <w:szCs w:val="28"/>
              </w:rPr>
              <w:t>又</w:t>
            </w:r>
            <w:r w:rsidR="00E86CDE" w:rsidRPr="00DB7372">
              <w:rPr>
                <w:rFonts w:ascii="Times New Roman" w:eastAsia="標楷體" w:hAnsi="Times New Roman" w:cs="Times New Roman"/>
                <w:sz w:val="28"/>
                <w:szCs w:val="28"/>
              </w:rPr>
              <w:t>續降。</w:t>
            </w:r>
            <w:r w:rsidR="008124E3" w:rsidRPr="00DB7372">
              <w:rPr>
                <w:rFonts w:ascii="Times New Roman" w:eastAsia="標楷體" w:hAnsi="Times New Roman" w:cs="Times New Roman"/>
                <w:sz w:val="28"/>
                <w:szCs w:val="28"/>
              </w:rPr>
              <w:t>這指標</w:t>
            </w:r>
            <w:r w:rsidR="005B4989" w:rsidRPr="00DB7372">
              <w:rPr>
                <w:rFonts w:ascii="Times New Roman" w:eastAsia="標楷體" w:hAnsi="Times New Roman" w:cs="Times New Roman"/>
                <w:sz w:val="28"/>
                <w:szCs w:val="28"/>
              </w:rPr>
              <w:t>會影響未來</w:t>
            </w:r>
            <w:r w:rsidR="000352FB" w:rsidRPr="00DB7372">
              <w:rPr>
                <w:rFonts w:ascii="Times New Roman" w:eastAsia="標楷體" w:hAnsi="Times New Roman" w:cs="Times New Roman"/>
                <w:sz w:val="28"/>
                <w:szCs w:val="28"/>
              </w:rPr>
              <w:t>的就業</w:t>
            </w:r>
            <w:r w:rsidR="00812C53" w:rsidRPr="00DB7372">
              <w:rPr>
                <w:rFonts w:ascii="Times New Roman" w:eastAsia="標楷體" w:hAnsi="Times New Roman" w:cs="Times New Roman"/>
                <w:sz w:val="28"/>
                <w:szCs w:val="28"/>
              </w:rPr>
              <w:t>走勢</w:t>
            </w:r>
            <w:r w:rsidR="003126E7">
              <w:rPr>
                <w:rFonts w:ascii="Times New Roman" w:eastAsia="標楷體" w:hAnsi="Times New Roman" w:cs="Times New Roman" w:hint="eastAsia"/>
                <w:sz w:val="28"/>
                <w:szCs w:val="28"/>
              </w:rPr>
              <w:t>（</w:t>
            </w:r>
            <w:r w:rsidR="0072370B" w:rsidRPr="00DB7372">
              <w:rPr>
                <w:rFonts w:ascii="Times New Roman" w:eastAsia="標楷體" w:hAnsi="Times New Roman" w:cs="Times New Roman"/>
                <w:sz w:val="28"/>
                <w:szCs w:val="28"/>
              </w:rPr>
              <w:t>註</w:t>
            </w:r>
            <w:r w:rsidR="003126E7">
              <w:rPr>
                <w:rFonts w:ascii="Times New Roman" w:eastAsia="標楷體" w:hAnsi="Times New Roman" w:cs="Times New Roman" w:hint="eastAsia"/>
                <w:sz w:val="28"/>
                <w:szCs w:val="28"/>
                <w:lang w:eastAsia="zh-CN"/>
              </w:rPr>
              <w:t>：</w:t>
            </w:r>
            <w:r w:rsidR="00C03EA9" w:rsidRPr="00DB7372">
              <w:rPr>
                <w:rFonts w:ascii="Times New Roman" w:eastAsia="標楷體" w:hAnsi="Times New Roman" w:cs="Times New Roman"/>
                <w:sz w:val="28"/>
                <w:szCs w:val="28"/>
              </w:rPr>
              <w:t>就業通常為同行指標。</w:t>
            </w:r>
            <w:r w:rsidR="003126E7">
              <w:rPr>
                <w:rFonts w:ascii="Times New Roman" w:eastAsia="標楷體" w:hAnsi="Times New Roman" w:cs="Times New Roman" w:hint="eastAsia"/>
                <w:sz w:val="28"/>
                <w:szCs w:val="28"/>
              </w:rPr>
              <w:t>）</w:t>
            </w:r>
          </w:p>
          <w:p w14:paraId="2B479E68" w14:textId="7A968323" w:rsidR="00E300BA" w:rsidRDefault="00C96757" w:rsidP="00E300BA">
            <w:pPr>
              <w:adjustRightInd w:val="0"/>
              <w:ind w:firstLineChars="200" w:firstLine="560"/>
              <w:rPr>
                <w:rFonts w:ascii="Times New Roman" w:eastAsia="標楷體" w:hAnsi="Times New Roman" w:cs="Times New Roman"/>
                <w:sz w:val="28"/>
                <w:szCs w:val="28"/>
              </w:rPr>
            </w:pPr>
            <w:r w:rsidRPr="00DB7372">
              <w:rPr>
                <w:rFonts w:ascii="Times New Roman" w:eastAsia="標楷體" w:hAnsi="Times New Roman" w:cs="Times New Roman"/>
                <w:sz w:val="28"/>
                <w:szCs w:val="28"/>
              </w:rPr>
              <w:t>投資與就業</w:t>
            </w:r>
            <w:r w:rsidR="000D6660" w:rsidRPr="00DB7372">
              <w:rPr>
                <w:rFonts w:ascii="Times New Roman" w:eastAsia="標楷體" w:hAnsi="Times New Roman" w:cs="Times New Roman"/>
                <w:sz w:val="28"/>
                <w:szCs w:val="28"/>
              </w:rPr>
              <w:t>的</w:t>
            </w:r>
            <w:r w:rsidR="00B909C2" w:rsidRPr="00DB7372">
              <w:rPr>
                <w:rFonts w:ascii="Times New Roman" w:eastAsia="標楷體" w:hAnsi="Times New Roman" w:cs="Times New Roman"/>
                <w:sz w:val="28"/>
                <w:szCs w:val="28"/>
              </w:rPr>
              <w:t>波動</w:t>
            </w:r>
            <w:r w:rsidR="009A6A88" w:rsidRPr="00DB7372">
              <w:rPr>
                <w:rFonts w:ascii="Times New Roman" w:eastAsia="標楷體" w:hAnsi="Times New Roman" w:cs="Times New Roman"/>
                <w:sz w:val="28"/>
                <w:szCs w:val="28"/>
              </w:rPr>
              <w:t>不穩及見弱</w:t>
            </w:r>
            <w:r w:rsidR="00A7567E" w:rsidRPr="00DB7372">
              <w:rPr>
                <w:rFonts w:ascii="Times New Roman" w:eastAsia="標楷體" w:hAnsi="Times New Roman" w:cs="Times New Roman"/>
                <w:sz w:val="28"/>
                <w:szCs w:val="28"/>
              </w:rPr>
              <w:t>導致景氣領先綜合指數</w:t>
            </w:r>
            <w:r w:rsidR="00216995" w:rsidRPr="00DB7372">
              <w:rPr>
                <w:rFonts w:ascii="Times New Roman" w:eastAsia="標楷體" w:hAnsi="Times New Roman" w:cs="Times New Roman"/>
                <w:sz w:val="28"/>
                <w:szCs w:val="28"/>
              </w:rPr>
              <w:t>不但</w:t>
            </w:r>
            <w:r w:rsidR="00CA3BC8" w:rsidRPr="00DB7372">
              <w:rPr>
                <w:rFonts w:ascii="Times New Roman" w:eastAsia="標楷體" w:hAnsi="Times New Roman" w:cs="Times New Roman"/>
                <w:sz w:val="28"/>
                <w:szCs w:val="28"/>
              </w:rPr>
              <w:t>使</w:t>
            </w:r>
            <w:r w:rsidR="00216995" w:rsidRPr="00DB7372">
              <w:rPr>
                <w:rFonts w:ascii="Times New Roman" w:eastAsia="標楷體" w:hAnsi="Times New Roman" w:cs="Times New Roman"/>
                <w:sz w:val="28"/>
                <w:szCs w:val="28"/>
              </w:rPr>
              <w:t>其</w:t>
            </w:r>
            <w:r w:rsidR="00F33E83" w:rsidRPr="00DB7372">
              <w:rPr>
                <w:rFonts w:ascii="Times New Roman" w:eastAsia="標楷體" w:hAnsi="Times New Roman" w:cs="Times New Roman"/>
                <w:sz w:val="28"/>
                <w:szCs w:val="28"/>
              </w:rPr>
              <w:t>所</w:t>
            </w:r>
            <w:r w:rsidR="00DD6406" w:rsidRPr="00DB7372">
              <w:rPr>
                <w:rFonts w:ascii="Times New Roman" w:eastAsia="標楷體" w:hAnsi="Times New Roman" w:cs="Times New Roman"/>
                <w:sz w:val="28"/>
                <w:szCs w:val="28"/>
              </w:rPr>
              <w:t>預測</w:t>
            </w:r>
            <w:r w:rsidR="00F33E83" w:rsidRPr="00DB7372">
              <w:rPr>
                <w:rFonts w:ascii="Times New Roman" w:eastAsia="標楷體" w:hAnsi="Times New Roman" w:cs="Times New Roman"/>
                <w:sz w:val="28"/>
                <w:szCs w:val="28"/>
              </w:rPr>
              <w:t>的</w:t>
            </w:r>
            <w:r w:rsidR="00A20071" w:rsidRPr="00DB7372">
              <w:rPr>
                <w:rFonts w:ascii="Times New Roman" w:eastAsia="標楷體" w:hAnsi="Times New Roman" w:cs="Times New Roman"/>
                <w:sz w:val="28"/>
                <w:szCs w:val="28"/>
              </w:rPr>
              <w:t>景氣</w:t>
            </w:r>
            <w:r w:rsidR="00DD6406" w:rsidRPr="00DB7372">
              <w:rPr>
                <w:rFonts w:ascii="Times New Roman" w:eastAsia="標楷體" w:hAnsi="Times New Roman" w:cs="Times New Roman"/>
                <w:sz w:val="28"/>
                <w:szCs w:val="28"/>
              </w:rPr>
              <w:t>同行</w:t>
            </w:r>
            <w:r w:rsidR="00C008A4" w:rsidRPr="00DB7372">
              <w:rPr>
                <w:rFonts w:ascii="Times New Roman" w:eastAsia="標楷體" w:hAnsi="Times New Roman" w:cs="Times New Roman"/>
                <w:sz w:val="28"/>
                <w:szCs w:val="28"/>
              </w:rPr>
              <w:t>綜合指數</w:t>
            </w:r>
            <w:r w:rsidR="00F33E83" w:rsidRPr="00DB7372">
              <w:rPr>
                <w:rFonts w:ascii="Times New Roman" w:eastAsia="標楷體" w:hAnsi="Times New Roman" w:cs="Times New Roman"/>
                <w:sz w:val="28"/>
                <w:szCs w:val="28"/>
              </w:rPr>
              <w:t>於</w:t>
            </w:r>
            <w:r w:rsidR="00F33E83" w:rsidRPr="00DB7372">
              <w:rPr>
                <w:rFonts w:ascii="Times New Roman" w:eastAsia="標楷體" w:hAnsi="Times New Roman" w:cs="Times New Roman"/>
                <w:sz w:val="28"/>
                <w:szCs w:val="28"/>
                <w:lang w:eastAsia="zh-CN"/>
              </w:rPr>
              <w:t>10</w:t>
            </w:r>
            <w:r w:rsidR="00F33E83" w:rsidRPr="00DB7372">
              <w:rPr>
                <w:rFonts w:ascii="Times New Roman" w:eastAsia="標楷體" w:hAnsi="Times New Roman" w:cs="Times New Roman"/>
                <w:sz w:val="28"/>
                <w:szCs w:val="28"/>
              </w:rPr>
              <w:t>月</w:t>
            </w:r>
            <w:r w:rsidR="00ED00F3" w:rsidRPr="00DB7372">
              <w:rPr>
                <w:rFonts w:ascii="Times New Roman" w:eastAsia="標楷體" w:hAnsi="Times New Roman" w:cs="Times New Roman"/>
                <w:sz w:val="28"/>
                <w:szCs w:val="28"/>
              </w:rPr>
              <w:t>份</w:t>
            </w:r>
            <w:r w:rsidR="0082373B" w:rsidRPr="00DB7372">
              <w:rPr>
                <w:rFonts w:ascii="Times New Roman" w:eastAsia="標楷體" w:hAnsi="Times New Roman" w:cs="Times New Roman"/>
                <w:sz w:val="28"/>
                <w:szCs w:val="28"/>
              </w:rPr>
              <w:t>止升轉</w:t>
            </w:r>
            <w:r w:rsidR="00E300BA" w:rsidRPr="00DB7372">
              <w:rPr>
                <w:rFonts w:ascii="Times New Roman" w:eastAsia="標楷體" w:hAnsi="Times New Roman" w:cs="Times New Roman"/>
                <w:sz w:val="28"/>
                <w:szCs w:val="28"/>
              </w:rPr>
              <w:t>降</w:t>
            </w:r>
            <w:r w:rsidR="00C832C3" w:rsidRPr="00DB7372">
              <w:rPr>
                <w:rFonts w:ascii="Times New Roman" w:eastAsia="標楷體" w:hAnsi="Times New Roman" w:cs="Times New Roman"/>
                <w:sz w:val="28"/>
                <w:szCs w:val="28"/>
              </w:rPr>
              <w:t>，</w:t>
            </w:r>
            <w:r w:rsidR="00C832C3" w:rsidRPr="00DB7372">
              <w:rPr>
                <w:rFonts w:ascii="Times New Roman" w:eastAsia="標楷體" w:hAnsi="Times New Roman" w:cs="Times New Roman"/>
                <w:sz w:val="28"/>
                <w:szCs w:val="28"/>
                <w:lang w:eastAsia="zh-CN"/>
              </w:rPr>
              <w:t>11</w:t>
            </w:r>
            <w:r w:rsidR="00C832C3" w:rsidRPr="00DB7372">
              <w:rPr>
                <w:rFonts w:ascii="Times New Roman" w:eastAsia="標楷體" w:hAnsi="Times New Roman" w:cs="Times New Roman"/>
                <w:sz w:val="28"/>
                <w:szCs w:val="28"/>
              </w:rPr>
              <w:t>月續降，而</w:t>
            </w:r>
            <w:r w:rsidR="00776F64" w:rsidRPr="00DB7372">
              <w:rPr>
                <w:rFonts w:ascii="Times New Roman" w:eastAsia="標楷體" w:hAnsi="Times New Roman" w:cs="Times New Roman"/>
                <w:sz w:val="28"/>
                <w:szCs w:val="28"/>
              </w:rPr>
              <w:t>且本身也</w:t>
            </w:r>
            <w:r w:rsidR="004136C1" w:rsidRPr="00DB7372">
              <w:rPr>
                <w:rFonts w:ascii="Times New Roman" w:eastAsia="標楷體" w:hAnsi="Times New Roman" w:cs="Times New Roman"/>
                <w:sz w:val="28"/>
                <w:szCs w:val="28"/>
              </w:rPr>
              <w:t>在</w:t>
            </w:r>
            <w:r w:rsidR="00776F64" w:rsidRPr="00DB7372">
              <w:rPr>
                <w:rFonts w:ascii="Times New Roman" w:eastAsia="標楷體" w:hAnsi="Times New Roman" w:cs="Times New Roman"/>
                <w:sz w:val="28"/>
                <w:szCs w:val="28"/>
                <w:lang w:eastAsia="zh-CN"/>
              </w:rPr>
              <w:t>4</w:t>
            </w:r>
            <w:r w:rsidR="00776F64" w:rsidRPr="00DB7372">
              <w:rPr>
                <w:rFonts w:ascii="Times New Roman" w:eastAsia="標楷體" w:hAnsi="Times New Roman" w:cs="Times New Roman"/>
                <w:sz w:val="28"/>
                <w:szCs w:val="28"/>
              </w:rPr>
              <w:t>月份</w:t>
            </w:r>
            <w:r w:rsidR="004136C1" w:rsidRPr="00DB7372">
              <w:rPr>
                <w:rFonts w:ascii="Times New Roman" w:eastAsia="標楷體" w:hAnsi="Times New Roman" w:cs="Times New Roman"/>
                <w:sz w:val="28"/>
                <w:szCs w:val="28"/>
              </w:rPr>
              <w:t>首度止</w:t>
            </w:r>
            <w:r w:rsidR="006C7F67" w:rsidRPr="00DB7372">
              <w:rPr>
                <w:rFonts w:ascii="Times New Roman" w:eastAsia="標楷體" w:hAnsi="Times New Roman" w:cs="Times New Roman"/>
                <w:sz w:val="28"/>
                <w:szCs w:val="28"/>
              </w:rPr>
              <w:t>升轉降</w:t>
            </w:r>
            <w:r w:rsidR="00930381" w:rsidRPr="00DB7372">
              <w:rPr>
                <w:rFonts w:ascii="Times New Roman" w:eastAsia="標楷體" w:hAnsi="Times New Roman" w:cs="Times New Roman"/>
                <w:sz w:val="28"/>
                <w:szCs w:val="28"/>
              </w:rPr>
              <w:t>。</w:t>
            </w:r>
            <w:r w:rsidR="00035749" w:rsidRPr="00DB7372">
              <w:rPr>
                <w:rFonts w:ascii="Times New Roman" w:eastAsia="標楷體" w:hAnsi="Times New Roman" w:cs="Times New Roman"/>
                <w:sz w:val="28"/>
                <w:szCs w:val="28"/>
              </w:rPr>
              <w:t>其他三個</w:t>
            </w:r>
            <w:r w:rsidR="00FD3A85" w:rsidRPr="00DB7372">
              <w:rPr>
                <w:rFonts w:ascii="Times New Roman" w:eastAsia="標楷體" w:hAnsi="Times New Roman" w:cs="Times New Roman"/>
                <w:sz w:val="28"/>
                <w:szCs w:val="28"/>
              </w:rPr>
              <w:t>子指標，</w:t>
            </w:r>
            <w:r w:rsidR="00117D9C" w:rsidRPr="00DB7372">
              <w:rPr>
                <w:rFonts w:ascii="Times New Roman" w:eastAsia="標楷體" w:hAnsi="Times New Roman" w:cs="Times New Roman"/>
                <w:sz w:val="28"/>
                <w:szCs w:val="28"/>
              </w:rPr>
              <w:t>「</w:t>
            </w:r>
            <w:r w:rsidR="00621F3D" w:rsidRPr="00DB7372">
              <w:rPr>
                <w:rFonts w:ascii="Times New Roman" w:eastAsia="標楷體" w:hAnsi="Times New Roman" w:cs="Times New Roman"/>
                <w:sz w:val="28"/>
                <w:szCs w:val="28"/>
              </w:rPr>
              <w:t>運輸及倉儲</w:t>
            </w:r>
            <w:r w:rsidR="000F0047" w:rsidRPr="00DB7372">
              <w:rPr>
                <w:rFonts w:ascii="Times New Roman" w:eastAsia="標楷體" w:hAnsi="Times New Roman" w:cs="Times New Roman"/>
                <w:sz w:val="28"/>
                <w:szCs w:val="28"/>
              </w:rPr>
              <w:t>實質</w:t>
            </w:r>
            <w:r w:rsidR="000F0047" w:rsidRPr="00DB7372">
              <w:rPr>
                <w:rFonts w:ascii="Times New Roman" w:eastAsia="標楷體" w:hAnsi="Times New Roman" w:cs="Times New Roman"/>
                <w:sz w:val="28"/>
                <w:szCs w:val="28"/>
                <w:lang w:eastAsia="zh-CN"/>
              </w:rPr>
              <w:t>GDP</w:t>
            </w:r>
            <w:r w:rsidR="00117D9C" w:rsidRPr="00DB7372">
              <w:rPr>
                <w:rFonts w:ascii="Times New Roman" w:eastAsia="標楷體" w:hAnsi="Times New Roman" w:cs="Times New Roman"/>
                <w:sz w:val="28"/>
                <w:szCs w:val="28"/>
              </w:rPr>
              <w:t>」</w:t>
            </w:r>
            <w:r w:rsidR="000F0047" w:rsidRPr="00DB7372">
              <w:rPr>
                <w:rFonts w:ascii="Times New Roman" w:eastAsia="標楷體" w:hAnsi="Times New Roman" w:cs="Times New Roman"/>
                <w:sz w:val="28"/>
                <w:szCs w:val="28"/>
                <w:lang w:eastAsia="zh-CN"/>
              </w:rPr>
              <w:t>,</w:t>
            </w:r>
            <w:r w:rsidR="000F0047" w:rsidRPr="00DB7372">
              <w:rPr>
                <w:rFonts w:ascii="Times New Roman" w:eastAsia="標楷體" w:hAnsi="Times New Roman" w:cs="Times New Roman"/>
                <w:sz w:val="28"/>
                <w:szCs w:val="28"/>
              </w:rPr>
              <w:t>「服務</w:t>
            </w:r>
            <w:r w:rsidR="00615A77" w:rsidRPr="00DB7372">
              <w:rPr>
                <w:rFonts w:ascii="Times New Roman" w:eastAsia="標楷體" w:hAnsi="Times New Roman" w:cs="Times New Roman"/>
                <w:sz w:val="28"/>
                <w:szCs w:val="28"/>
              </w:rPr>
              <w:t>業貿易收支淨額</w:t>
            </w:r>
            <w:r w:rsidR="000F0047" w:rsidRPr="00DB7372">
              <w:rPr>
                <w:rFonts w:ascii="Times New Roman" w:eastAsia="標楷體" w:hAnsi="Times New Roman" w:cs="Times New Roman"/>
                <w:sz w:val="28"/>
                <w:szCs w:val="28"/>
              </w:rPr>
              <w:t>」</w:t>
            </w:r>
            <w:r w:rsidR="00F21B2A" w:rsidRPr="00DB7372">
              <w:rPr>
                <w:rFonts w:ascii="Times New Roman" w:eastAsia="標楷體" w:hAnsi="Times New Roman" w:cs="Times New Roman"/>
                <w:sz w:val="28"/>
                <w:szCs w:val="28"/>
              </w:rPr>
              <w:t>及「商業服務業股價指數」</w:t>
            </w:r>
            <w:r w:rsidR="00A809BB" w:rsidRPr="00DB7372">
              <w:rPr>
                <w:rFonts w:ascii="Times New Roman" w:eastAsia="標楷體" w:hAnsi="Times New Roman" w:cs="Times New Roman"/>
                <w:sz w:val="28"/>
                <w:szCs w:val="28"/>
              </w:rPr>
              <w:t>循環指數</w:t>
            </w:r>
            <w:r w:rsidR="00372147" w:rsidRPr="00DB7372">
              <w:rPr>
                <w:rFonts w:ascii="Times New Roman" w:eastAsia="標楷體" w:hAnsi="Times New Roman" w:cs="Times New Roman"/>
                <w:sz w:val="28"/>
                <w:szCs w:val="28"/>
              </w:rPr>
              <w:t>至四月仍是</w:t>
            </w:r>
            <w:r w:rsidR="00F21B2A" w:rsidRPr="00DB7372">
              <w:rPr>
                <w:rFonts w:ascii="Times New Roman" w:eastAsia="標楷體" w:hAnsi="Times New Roman" w:cs="Times New Roman"/>
                <w:sz w:val="28"/>
                <w:szCs w:val="28"/>
              </w:rPr>
              <w:t>一路</w:t>
            </w:r>
            <w:r w:rsidR="00A809BB" w:rsidRPr="00DB7372">
              <w:rPr>
                <w:rFonts w:ascii="Times New Roman" w:eastAsia="標楷體" w:hAnsi="Times New Roman" w:cs="Times New Roman"/>
                <w:sz w:val="28"/>
                <w:szCs w:val="28"/>
              </w:rPr>
              <w:t>上升</w:t>
            </w:r>
            <w:r w:rsidR="00372147" w:rsidRPr="00DB7372">
              <w:rPr>
                <w:rFonts w:ascii="Times New Roman" w:eastAsia="標楷體" w:hAnsi="Times New Roman" w:cs="Times New Roman"/>
                <w:sz w:val="28"/>
                <w:szCs w:val="28"/>
              </w:rPr>
              <w:t>的</w:t>
            </w:r>
            <w:r w:rsidR="00C2764E" w:rsidRPr="00DB7372">
              <w:rPr>
                <w:rFonts w:ascii="Times New Roman" w:eastAsia="標楷體" w:hAnsi="Times New Roman" w:cs="Times New Roman"/>
                <w:sz w:val="28"/>
                <w:szCs w:val="28"/>
              </w:rPr>
              <w:t>。</w:t>
            </w:r>
          </w:p>
          <w:p w14:paraId="7B31D1DE" w14:textId="77777777" w:rsidR="003126E7" w:rsidRPr="00DB7372" w:rsidRDefault="003126E7" w:rsidP="00E300BA">
            <w:pPr>
              <w:adjustRightInd w:val="0"/>
              <w:ind w:firstLineChars="200" w:firstLine="560"/>
              <w:rPr>
                <w:rFonts w:ascii="Times New Roman" w:eastAsia="標楷體" w:hAnsi="Times New Roman" w:cs="Times New Roman"/>
                <w:sz w:val="28"/>
                <w:szCs w:val="28"/>
              </w:rPr>
            </w:pPr>
          </w:p>
          <w:p w14:paraId="4EFB0593" w14:textId="49618B3C" w:rsidR="00FE1B93" w:rsidRPr="003126E7" w:rsidRDefault="0048244F" w:rsidP="00E300BA">
            <w:pPr>
              <w:adjustRightInd w:val="0"/>
              <w:ind w:firstLineChars="200" w:firstLine="561"/>
              <w:rPr>
                <w:rFonts w:ascii="Times New Roman" w:eastAsia="標楷體" w:hAnsi="Times New Roman" w:cs="Times New Roman"/>
                <w:b/>
                <w:color w:val="FF0000"/>
                <w:sz w:val="28"/>
                <w:szCs w:val="28"/>
                <w:lang w:eastAsia="zh-CN"/>
              </w:rPr>
            </w:pPr>
            <w:r w:rsidRPr="003126E7">
              <w:rPr>
                <w:rFonts w:ascii="Times New Roman" w:eastAsia="標楷體" w:hAnsi="Times New Roman" w:cs="Times New Roman"/>
                <w:b/>
                <w:color w:val="FF0000"/>
                <w:sz w:val="28"/>
                <w:szCs w:val="28"/>
                <w:lang w:eastAsia="zh-CN"/>
              </w:rPr>
              <w:t>同行指標</w:t>
            </w:r>
            <w:r w:rsidR="00A816FF" w:rsidRPr="003126E7">
              <w:rPr>
                <w:rFonts w:ascii="Times New Roman" w:eastAsia="標楷體" w:hAnsi="Times New Roman" w:cs="Times New Roman"/>
                <w:b/>
                <w:color w:val="FF0000"/>
                <w:sz w:val="28"/>
                <w:szCs w:val="28"/>
                <w:lang w:eastAsia="zh-CN"/>
              </w:rPr>
              <w:t>子</w:t>
            </w:r>
            <w:r w:rsidR="00023586" w:rsidRPr="003126E7">
              <w:rPr>
                <w:rFonts w:ascii="Times New Roman" w:eastAsia="標楷體" w:hAnsi="Times New Roman" w:cs="Times New Roman"/>
                <w:b/>
                <w:color w:val="FF0000"/>
                <w:sz w:val="28"/>
                <w:szCs w:val="28"/>
                <w:lang w:eastAsia="zh-CN"/>
              </w:rPr>
              <w:t>指標變動</w:t>
            </w:r>
            <w:r w:rsidR="005E3815" w:rsidRPr="003126E7">
              <w:rPr>
                <w:rFonts w:ascii="Times New Roman" w:eastAsia="標楷體" w:hAnsi="Times New Roman" w:cs="Times New Roman"/>
                <w:b/>
                <w:color w:val="FF0000"/>
                <w:sz w:val="28"/>
                <w:szCs w:val="28"/>
                <w:lang w:eastAsia="zh-CN"/>
              </w:rPr>
              <w:t>看</w:t>
            </w:r>
            <w:r w:rsidR="00023586" w:rsidRPr="003126E7">
              <w:rPr>
                <w:rFonts w:ascii="Times New Roman" w:eastAsia="標楷體" w:hAnsi="Times New Roman" w:cs="Times New Roman"/>
                <w:b/>
                <w:color w:val="FF0000"/>
                <w:sz w:val="28"/>
                <w:szCs w:val="28"/>
                <w:lang w:eastAsia="zh-CN"/>
              </w:rPr>
              <w:t>出當前景氣</w:t>
            </w:r>
            <w:r w:rsidR="003126E7" w:rsidRPr="003126E7">
              <w:rPr>
                <w:rFonts w:ascii="Times New Roman" w:eastAsia="標楷體" w:hAnsi="Times New Roman" w:cs="Times New Roman" w:hint="eastAsia"/>
                <w:b/>
                <w:color w:val="FF0000"/>
                <w:sz w:val="28"/>
                <w:szCs w:val="28"/>
                <w:lang w:eastAsia="zh-CN"/>
              </w:rPr>
              <w:t>復甦</w:t>
            </w:r>
            <w:r w:rsidR="009647AB" w:rsidRPr="003126E7">
              <w:rPr>
                <w:rFonts w:ascii="Times New Roman" w:eastAsia="標楷體" w:hAnsi="Times New Roman" w:cs="Times New Roman"/>
                <w:b/>
                <w:color w:val="FF0000"/>
                <w:sz w:val="28"/>
                <w:szCs w:val="28"/>
                <w:lang w:eastAsia="zh-CN"/>
              </w:rPr>
              <w:t>力道微弱</w:t>
            </w:r>
            <w:r w:rsidR="002074CF" w:rsidRPr="003126E7">
              <w:rPr>
                <w:rFonts w:ascii="Times New Roman" w:eastAsia="標楷體" w:hAnsi="Times New Roman" w:cs="Times New Roman"/>
                <w:b/>
                <w:color w:val="FF0000"/>
                <w:sz w:val="28"/>
                <w:szCs w:val="28"/>
                <w:lang w:eastAsia="zh-CN"/>
              </w:rPr>
              <w:t>原因</w:t>
            </w:r>
            <w:r w:rsidR="005E3815" w:rsidRPr="003126E7">
              <w:rPr>
                <w:rFonts w:ascii="Times New Roman" w:eastAsia="標楷體" w:hAnsi="Times New Roman" w:cs="Times New Roman"/>
                <w:b/>
                <w:color w:val="FF0000"/>
                <w:sz w:val="28"/>
                <w:szCs w:val="28"/>
                <w:lang w:eastAsia="zh-CN"/>
              </w:rPr>
              <w:t>所在</w:t>
            </w:r>
          </w:p>
          <w:p w14:paraId="6B1F8936" w14:textId="75B5E94D" w:rsidR="003126E7" w:rsidRPr="00DB7372" w:rsidRDefault="00185097" w:rsidP="00E300BA">
            <w:pPr>
              <w:adjustRightInd w:val="0"/>
              <w:ind w:firstLineChars="200" w:firstLine="560"/>
              <w:rPr>
                <w:rFonts w:ascii="Times New Roman" w:eastAsia="標楷體" w:hAnsi="Times New Roman" w:cs="Times New Roman"/>
                <w:sz w:val="28"/>
                <w:szCs w:val="28"/>
              </w:rPr>
            </w:pPr>
            <w:r w:rsidRPr="00DB7372">
              <w:rPr>
                <w:rFonts w:ascii="Times New Roman" w:eastAsia="標楷體" w:hAnsi="Times New Roman" w:cs="Times New Roman"/>
                <w:sz w:val="28"/>
                <w:szCs w:val="28"/>
              </w:rPr>
              <w:t>單一指標</w:t>
            </w:r>
            <w:r w:rsidR="00D807DA" w:rsidRPr="00DB7372">
              <w:rPr>
                <w:rFonts w:ascii="Times New Roman" w:eastAsia="標楷體" w:hAnsi="Times New Roman" w:cs="Times New Roman"/>
                <w:sz w:val="28"/>
                <w:szCs w:val="28"/>
              </w:rPr>
              <w:t>因其本身的波動性</w:t>
            </w:r>
            <w:r w:rsidR="00720E2D" w:rsidRPr="00DB7372">
              <w:rPr>
                <w:rFonts w:ascii="Times New Roman" w:eastAsia="標楷體" w:hAnsi="Times New Roman" w:cs="Times New Roman"/>
                <w:sz w:val="28"/>
                <w:szCs w:val="28"/>
              </w:rPr>
              <w:t>不一及代表經濟活動的範圍</w:t>
            </w:r>
            <w:r w:rsidR="00423F3B" w:rsidRPr="00DB7372">
              <w:rPr>
                <w:rFonts w:ascii="Times New Roman" w:eastAsia="標楷體" w:hAnsi="Times New Roman" w:cs="Times New Roman"/>
                <w:sz w:val="28"/>
                <w:szCs w:val="28"/>
              </w:rPr>
              <w:t>不足，必須就</w:t>
            </w:r>
            <w:r w:rsidR="00AB5C3B" w:rsidRPr="00DB7372">
              <w:rPr>
                <w:rFonts w:ascii="Times New Roman" w:eastAsia="標楷體" w:hAnsi="Times New Roman" w:cs="Times New Roman"/>
                <w:sz w:val="28"/>
                <w:szCs w:val="28"/>
              </w:rPr>
              <w:t>多個指標</w:t>
            </w:r>
            <w:r w:rsidR="00323938" w:rsidRPr="00DB7372">
              <w:rPr>
                <w:rFonts w:ascii="Times New Roman" w:eastAsia="標楷體" w:hAnsi="Times New Roman" w:cs="Times New Roman"/>
                <w:sz w:val="28"/>
                <w:szCs w:val="28"/>
              </w:rPr>
              <w:t>的</w:t>
            </w:r>
            <w:r w:rsidR="00423F3B" w:rsidRPr="00DB7372">
              <w:rPr>
                <w:rFonts w:ascii="Times New Roman" w:eastAsia="標楷體" w:hAnsi="Times New Roman" w:cs="Times New Roman"/>
                <w:sz w:val="28"/>
                <w:szCs w:val="28"/>
              </w:rPr>
              <w:t>經濟意義</w:t>
            </w:r>
            <w:r w:rsidR="00CD3FA1" w:rsidRPr="00DB7372">
              <w:rPr>
                <w:rFonts w:ascii="Times New Roman" w:eastAsia="標楷體" w:hAnsi="Times New Roman" w:cs="Times New Roman"/>
                <w:sz w:val="28"/>
                <w:szCs w:val="28"/>
              </w:rPr>
              <w:t>及</w:t>
            </w:r>
            <w:r w:rsidR="00587E0F" w:rsidRPr="00DB7372">
              <w:rPr>
                <w:rFonts w:ascii="Times New Roman" w:eastAsia="標楷體" w:hAnsi="Times New Roman" w:cs="Times New Roman"/>
                <w:sz w:val="28"/>
                <w:szCs w:val="28"/>
              </w:rPr>
              <w:t>其</w:t>
            </w:r>
            <w:r w:rsidR="00CD3FA1" w:rsidRPr="00DB7372">
              <w:rPr>
                <w:rFonts w:ascii="Times New Roman" w:eastAsia="標楷體" w:hAnsi="Times New Roman" w:cs="Times New Roman"/>
                <w:sz w:val="28"/>
                <w:szCs w:val="28"/>
              </w:rPr>
              <w:t>行為來</w:t>
            </w:r>
            <w:r w:rsidR="00AB5C3B" w:rsidRPr="00DB7372">
              <w:rPr>
                <w:rFonts w:ascii="Times New Roman" w:eastAsia="標楷體" w:hAnsi="Times New Roman" w:cs="Times New Roman"/>
                <w:sz w:val="28"/>
                <w:szCs w:val="28"/>
              </w:rPr>
              <w:t>編製</w:t>
            </w:r>
            <w:r w:rsidR="00331B0B" w:rsidRPr="00DB7372">
              <w:rPr>
                <w:rFonts w:ascii="Times New Roman" w:eastAsia="標楷體" w:hAnsi="Times New Roman" w:cs="Times New Roman"/>
                <w:sz w:val="28"/>
                <w:szCs w:val="28"/>
              </w:rPr>
              <w:t>景氣循環</w:t>
            </w:r>
            <w:r w:rsidR="00AB5C3B" w:rsidRPr="00DB7372">
              <w:rPr>
                <w:rFonts w:ascii="Times New Roman" w:eastAsia="標楷體" w:hAnsi="Times New Roman" w:cs="Times New Roman"/>
                <w:sz w:val="28"/>
                <w:szCs w:val="28"/>
              </w:rPr>
              <w:t>綜合指數</w:t>
            </w:r>
            <w:r w:rsidR="00331B0B" w:rsidRPr="00DB7372">
              <w:rPr>
                <w:rFonts w:ascii="Times New Roman" w:eastAsia="標楷體" w:hAnsi="Times New Roman" w:cs="Times New Roman"/>
                <w:sz w:val="28"/>
                <w:szCs w:val="28"/>
              </w:rPr>
              <w:t>才能預測與</w:t>
            </w:r>
            <w:r w:rsidR="001F4849" w:rsidRPr="00DB7372">
              <w:rPr>
                <w:rFonts w:ascii="Times New Roman" w:eastAsia="標楷體" w:hAnsi="Times New Roman" w:cs="Times New Roman"/>
                <w:sz w:val="28"/>
                <w:szCs w:val="28"/>
              </w:rPr>
              <w:t>顯示整體景氣循環變動</w:t>
            </w:r>
            <w:r w:rsidR="00305873" w:rsidRPr="00DB7372">
              <w:rPr>
                <w:rFonts w:ascii="Times New Roman" w:eastAsia="標楷體" w:hAnsi="Times New Roman" w:cs="Times New Roman"/>
                <w:sz w:val="28"/>
                <w:szCs w:val="28"/>
              </w:rPr>
              <w:t>趨</w:t>
            </w:r>
            <w:r w:rsidR="005562D6" w:rsidRPr="00DB7372">
              <w:rPr>
                <w:rFonts w:ascii="Times New Roman" w:eastAsia="標楷體" w:hAnsi="Times New Roman" w:cs="Times New Roman"/>
                <w:sz w:val="28"/>
                <w:szCs w:val="28"/>
              </w:rPr>
              <w:t>勢。但</w:t>
            </w:r>
            <w:r w:rsidR="0073425F" w:rsidRPr="00DB7372">
              <w:rPr>
                <w:rFonts w:ascii="Times New Roman" w:eastAsia="標楷體" w:hAnsi="Times New Roman" w:cs="Times New Roman"/>
                <w:sz w:val="28"/>
                <w:szCs w:val="28"/>
              </w:rPr>
              <w:t>分析</w:t>
            </w:r>
            <w:r w:rsidR="005562D6" w:rsidRPr="00DB7372">
              <w:rPr>
                <w:rFonts w:ascii="Times New Roman" w:eastAsia="標楷體" w:hAnsi="Times New Roman" w:cs="Times New Roman"/>
                <w:sz w:val="28"/>
                <w:szCs w:val="28"/>
              </w:rPr>
              <w:t>單一指標</w:t>
            </w:r>
            <w:r w:rsidR="007D2042" w:rsidRPr="00DB7372">
              <w:rPr>
                <w:rFonts w:ascii="Times New Roman" w:eastAsia="標楷體" w:hAnsi="Times New Roman" w:cs="Times New Roman"/>
                <w:sz w:val="28"/>
                <w:szCs w:val="28"/>
              </w:rPr>
              <w:t>個別</w:t>
            </w:r>
            <w:r w:rsidR="0073425F" w:rsidRPr="00DB7372">
              <w:rPr>
                <w:rFonts w:ascii="Times New Roman" w:eastAsia="標楷體" w:hAnsi="Times New Roman" w:cs="Times New Roman"/>
                <w:sz w:val="28"/>
                <w:szCs w:val="28"/>
              </w:rPr>
              <w:t>表現可</w:t>
            </w:r>
            <w:r w:rsidR="001E6702" w:rsidRPr="00DB7372">
              <w:rPr>
                <w:rFonts w:ascii="Times New Roman" w:eastAsia="標楷體" w:hAnsi="Times New Roman" w:cs="Times New Roman"/>
                <w:sz w:val="28"/>
                <w:szCs w:val="28"/>
              </w:rPr>
              <w:t>窺探景氣</w:t>
            </w:r>
            <w:r w:rsidR="004038E0" w:rsidRPr="00DB7372">
              <w:rPr>
                <w:rFonts w:ascii="Times New Roman" w:eastAsia="標楷體" w:hAnsi="Times New Roman" w:cs="Times New Roman"/>
                <w:sz w:val="28"/>
                <w:szCs w:val="28"/>
              </w:rPr>
              <w:t>擴散的路徑</w:t>
            </w:r>
            <w:r w:rsidR="001346D5" w:rsidRPr="00DB7372">
              <w:rPr>
                <w:rFonts w:ascii="Times New Roman" w:eastAsia="標楷體" w:hAnsi="Times New Roman" w:cs="Times New Roman"/>
                <w:sz w:val="28"/>
                <w:szCs w:val="28"/>
              </w:rPr>
              <w:t>與範圍，是採取景氣對策</w:t>
            </w:r>
            <w:r w:rsidR="008965C7" w:rsidRPr="00DB7372">
              <w:rPr>
                <w:rFonts w:ascii="Times New Roman" w:eastAsia="標楷體" w:hAnsi="Times New Roman" w:cs="Times New Roman"/>
                <w:sz w:val="28"/>
                <w:szCs w:val="28"/>
              </w:rPr>
              <w:t>措施的重要憑藉。</w:t>
            </w:r>
          </w:p>
          <w:p w14:paraId="2A0E0551" w14:textId="5EC41C5E" w:rsidR="003126E7" w:rsidRPr="003126E7" w:rsidRDefault="00645115" w:rsidP="00E300BA">
            <w:pPr>
              <w:adjustRightInd w:val="0"/>
              <w:ind w:firstLineChars="200" w:firstLine="560"/>
              <w:rPr>
                <w:rFonts w:ascii="Times New Roman" w:eastAsia="SimSun" w:hAnsi="Times New Roman" w:cs="Times New Roman"/>
                <w:sz w:val="28"/>
                <w:szCs w:val="28"/>
                <w:lang w:eastAsia="zh-CN"/>
              </w:rPr>
            </w:pPr>
            <w:r w:rsidRPr="00DB7372">
              <w:rPr>
                <w:rFonts w:ascii="Times New Roman" w:eastAsia="標楷體" w:hAnsi="Times New Roman" w:cs="Times New Roman"/>
                <w:sz w:val="28"/>
                <w:szCs w:val="28"/>
                <w:lang w:eastAsia="zh-CN"/>
              </w:rPr>
              <w:t>接著</w:t>
            </w:r>
            <w:r w:rsidR="00E26E16" w:rsidRPr="00DB7372">
              <w:rPr>
                <w:rFonts w:ascii="Times New Roman" w:eastAsia="標楷體" w:hAnsi="Times New Roman" w:cs="Times New Roman"/>
                <w:sz w:val="28"/>
                <w:szCs w:val="28"/>
                <w:lang w:eastAsia="zh-CN"/>
              </w:rPr>
              <w:t>就代表整體</w:t>
            </w:r>
            <w:r w:rsidR="00E26E16" w:rsidRPr="00DB7372">
              <w:rPr>
                <w:rFonts w:ascii="Times New Roman" w:eastAsia="標楷體" w:hAnsi="Times New Roman" w:cs="Times New Roman"/>
                <w:sz w:val="28"/>
                <w:szCs w:val="28"/>
                <w:lang w:eastAsia="zh-CN"/>
              </w:rPr>
              <w:t>GDP</w:t>
            </w:r>
            <w:r w:rsidR="00E26E16" w:rsidRPr="00DB7372">
              <w:rPr>
                <w:rFonts w:ascii="Times New Roman" w:eastAsia="標楷體" w:hAnsi="Times New Roman" w:cs="Times New Roman"/>
                <w:sz w:val="28"/>
                <w:szCs w:val="28"/>
                <w:lang w:eastAsia="zh-CN"/>
              </w:rPr>
              <w:t>走勢的</w:t>
            </w:r>
            <w:r w:rsidR="0074160E" w:rsidRPr="00DB7372">
              <w:rPr>
                <w:rFonts w:ascii="Times New Roman" w:eastAsia="標楷體" w:hAnsi="Times New Roman" w:cs="Times New Roman"/>
                <w:sz w:val="28"/>
                <w:szCs w:val="28"/>
                <w:lang w:eastAsia="zh-CN"/>
              </w:rPr>
              <w:t>同行指標</w:t>
            </w:r>
            <w:r w:rsidR="007360AB" w:rsidRPr="00DB7372">
              <w:rPr>
                <w:rFonts w:ascii="Times New Roman" w:eastAsia="標楷體" w:hAnsi="Times New Roman" w:cs="Times New Roman"/>
                <w:sz w:val="28"/>
                <w:szCs w:val="28"/>
                <w:lang w:eastAsia="zh-CN"/>
              </w:rPr>
              <w:t>觀察，</w:t>
            </w:r>
            <w:r w:rsidR="000D7FB0" w:rsidRPr="00DB7372">
              <w:rPr>
                <w:rFonts w:ascii="Times New Roman" w:eastAsia="標楷體" w:hAnsi="Times New Roman" w:cs="Times New Roman"/>
                <w:sz w:val="28"/>
                <w:szCs w:val="28"/>
                <w:lang w:eastAsia="zh-CN"/>
              </w:rPr>
              <w:t>同行指標循環</w:t>
            </w:r>
            <w:r w:rsidR="006647A8" w:rsidRPr="00DB7372">
              <w:rPr>
                <w:rFonts w:ascii="Times New Roman" w:eastAsia="標楷體" w:hAnsi="Times New Roman" w:cs="Times New Roman"/>
                <w:sz w:val="28"/>
                <w:szCs w:val="28"/>
                <w:lang w:eastAsia="zh-CN"/>
              </w:rPr>
              <w:t>綜合</w:t>
            </w:r>
            <w:r w:rsidR="000D7FB0" w:rsidRPr="00DB7372">
              <w:rPr>
                <w:rFonts w:ascii="Times New Roman" w:eastAsia="標楷體" w:hAnsi="Times New Roman" w:cs="Times New Roman"/>
                <w:sz w:val="28"/>
                <w:szCs w:val="28"/>
                <w:lang w:eastAsia="zh-CN"/>
              </w:rPr>
              <w:t>指數構成的</w:t>
            </w:r>
            <w:r w:rsidR="006E2047" w:rsidRPr="00DB7372">
              <w:rPr>
                <w:rFonts w:ascii="Times New Roman" w:eastAsia="標楷體" w:hAnsi="Times New Roman" w:cs="Times New Roman"/>
                <w:sz w:val="28"/>
                <w:szCs w:val="28"/>
                <w:lang w:eastAsia="zh-CN"/>
              </w:rPr>
              <w:t>五個子指標中，</w:t>
            </w:r>
            <w:r w:rsidR="0067470F" w:rsidRPr="00DB7372">
              <w:rPr>
                <w:rFonts w:ascii="Times New Roman" w:eastAsia="標楷體" w:hAnsi="Times New Roman" w:cs="Times New Roman"/>
                <w:sz w:val="28"/>
                <w:szCs w:val="28"/>
                <w:lang w:eastAsia="zh-CN"/>
              </w:rPr>
              <w:t>「</w:t>
            </w:r>
            <w:r w:rsidR="00DE6929" w:rsidRPr="00DB7372">
              <w:rPr>
                <w:rFonts w:ascii="Times New Roman" w:eastAsia="標楷體" w:hAnsi="Times New Roman" w:cs="Times New Roman"/>
                <w:sz w:val="28"/>
                <w:szCs w:val="28"/>
                <w:lang w:eastAsia="zh-CN"/>
              </w:rPr>
              <w:t>服務業受僱</w:t>
            </w:r>
            <w:r w:rsidR="00BB7503" w:rsidRPr="00DB7372">
              <w:rPr>
                <w:rFonts w:ascii="Times New Roman" w:eastAsia="標楷體" w:hAnsi="Times New Roman" w:cs="Times New Roman"/>
                <w:sz w:val="28"/>
                <w:szCs w:val="28"/>
                <w:lang w:eastAsia="zh-CN"/>
              </w:rPr>
              <w:t>員工人數</w:t>
            </w:r>
            <w:r w:rsidR="0067470F" w:rsidRPr="00DB7372">
              <w:rPr>
                <w:rFonts w:ascii="Times New Roman" w:eastAsia="標楷體" w:hAnsi="Times New Roman" w:cs="Times New Roman"/>
                <w:sz w:val="28"/>
                <w:szCs w:val="28"/>
                <w:lang w:eastAsia="zh-CN"/>
              </w:rPr>
              <w:t>」</w:t>
            </w:r>
            <w:r w:rsidR="00BB7503" w:rsidRPr="00DB7372">
              <w:rPr>
                <w:rFonts w:ascii="Times New Roman" w:eastAsia="標楷體" w:hAnsi="Times New Roman" w:cs="Times New Roman"/>
                <w:sz w:val="28"/>
                <w:szCs w:val="28"/>
                <w:lang w:eastAsia="zh-CN"/>
              </w:rPr>
              <w:t>在</w:t>
            </w:r>
            <w:r w:rsidR="00E55295" w:rsidRPr="00DB7372">
              <w:rPr>
                <w:rFonts w:ascii="Times New Roman" w:eastAsia="標楷體" w:hAnsi="Times New Roman" w:cs="Times New Roman"/>
                <w:sz w:val="28"/>
                <w:szCs w:val="28"/>
                <w:lang w:eastAsia="zh-CN"/>
              </w:rPr>
              <w:t>三</w:t>
            </w:r>
            <w:r w:rsidR="009012F9" w:rsidRPr="00DB7372">
              <w:rPr>
                <w:rFonts w:ascii="Times New Roman" w:eastAsia="標楷體" w:hAnsi="Times New Roman" w:cs="Times New Roman"/>
                <w:sz w:val="28"/>
                <w:szCs w:val="28"/>
                <w:lang w:eastAsia="zh-CN"/>
              </w:rPr>
              <w:t>月與</w:t>
            </w:r>
            <w:r w:rsidR="00E55295" w:rsidRPr="00DB7372">
              <w:rPr>
                <w:rFonts w:ascii="Times New Roman" w:eastAsia="標楷體" w:hAnsi="Times New Roman" w:cs="Times New Roman"/>
                <w:sz w:val="28"/>
                <w:szCs w:val="28"/>
                <w:lang w:eastAsia="zh-CN"/>
              </w:rPr>
              <w:t>四</w:t>
            </w:r>
            <w:r w:rsidR="009012F9" w:rsidRPr="00DB7372">
              <w:rPr>
                <w:rFonts w:ascii="Times New Roman" w:eastAsia="標楷體" w:hAnsi="Times New Roman" w:cs="Times New Roman"/>
                <w:sz w:val="28"/>
                <w:szCs w:val="28"/>
                <w:lang w:eastAsia="zh-CN"/>
              </w:rPr>
              <w:t>月</w:t>
            </w:r>
            <w:r w:rsidR="00844049" w:rsidRPr="00DB7372">
              <w:rPr>
                <w:rFonts w:ascii="Times New Roman" w:eastAsia="標楷體" w:hAnsi="Times New Roman" w:cs="Times New Roman"/>
                <w:sz w:val="28"/>
                <w:szCs w:val="28"/>
                <w:lang w:eastAsia="zh-CN"/>
              </w:rPr>
              <w:t>轉降</w:t>
            </w:r>
            <w:r w:rsidR="002270A2" w:rsidRPr="00DB7372">
              <w:rPr>
                <w:rFonts w:ascii="Times New Roman" w:eastAsia="標楷體" w:hAnsi="Times New Roman" w:cs="Times New Roman"/>
                <w:sz w:val="28"/>
                <w:szCs w:val="28"/>
                <w:lang w:eastAsia="zh-CN"/>
              </w:rPr>
              <w:t>，</w:t>
            </w:r>
            <w:r w:rsidR="0067470F" w:rsidRPr="00DB7372">
              <w:rPr>
                <w:rFonts w:ascii="Times New Roman" w:eastAsia="標楷體" w:hAnsi="Times New Roman" w:cs="Times New Roman"/>
                <w:sz w:val="28"/>
                <w:szCs w:val="28"/>
                <w:lang w:eastAsia="zh-CN"/>
              </w:rPr>
              <w:t>「不</w:t>
            </w:r>
            <w:r w:rsidR="0095556C" w:rsidRPr="00DB7372">
              <w:rPr>
                <w:rFonts w:ascii="Times New Roman" w:eastAsia="標楷體" w:hAnsi="Times New Roman" w:cs="Times New Roman"/>
                <w:sz w:val="28"/>
                <w:szCs w:val="28"/>
                <w:lang w:eastAsia="zh-CN"/>
              </w:rPr>
              <w:t>動產及住宅</w:t>
            </w:r>
            <w:r w:rsidR="008B74F3" w:rsidRPr="00DB7372">
              <w:rPr>
                <w:rFonts w:ascii="Times New Roman" w:eastAsia="標楷體" w:hAnsi="Times New Roman" w:cs="Times New Roman"/>
                <w:sz w:val="28"/>
                <w:szCs w:val="28"/>
                <w:lang w:eastAsia="zh-CN"/>
              </w:rPr>
              <w:t>服務實質</w:t>
            </w:r>
            <w:r w:rsidR="008B74F3" w:rsidRPr="00DB7372">
              <w:rPr>
                <w:rFonts w:ascii="Times New Roman" w:eastAsia="標楷體" w:hAnsi="Times New Roman" w:cs="Times New Roman"/>
                <w:sz w:val="28"/>
                <w:szCs w:val="28"/>
                <w:lang w:eastAsia="zh-CN"/>
              </w:rPr>
              <w:t>GDP</w:t>
            </w:r>
            <w:r w:rsidR="0067470F" w:rsidRPr="00DB7372">
              <w:rPr>
                <w:rFonts w:ascii="Times New Roman" w:eastAsia="標楷體" w:hAnsi="Times New Roman" w:cs="Times New Roman"/>
                <w:sz w:val="28"/>
                <w:szCs w:val="28"/>
                <w:lang w:eastAsia="zh-CN"/>
              </w:rPr>
              <w:t>」</w:t>
            </w:r>
            <w:r w:rsidR="008B74F3" w:rsidRPr="00DB7372">
              <w:rPr>
                <w:rFonts w:ascii="Times New Roman" w:eastAsia="標楷體" w:hAnsi="Times New Roman" w:cs="Times New Roman"/>
                <w:sz w:val="28"/>
                <w:szCs w:val="28"/>
                <w:lang w:eastAsia="zh-CN"/>
              </w:rPr>
              <w:t>自</w:t>
            </w:r>
            <w:r w:rsidR="008B74F3" w:rsidRPr="00DB7372">
              <w:rPr>
                <w:rFonts w:ascii="Times New Roman" w:eastAsia="標楷體" w:hAnsi="Times New Roman" w:cs="Times New Roman"/>
                <w:sz w:val="28"/>
                <w:szCs w:val="28"/>
                <w:lang w:eastAsia="zh-CN"/>
              </w:rPr>
              <w:t>2015</w:t>
            </w:r>
            <w:r w:rsidR="00FD1C8C" w:rsidRPr="00DB7372">
              <w:rPr>
                <w:rFonts w:ascii="Times New Roman" w:eastAsia="標楷體" w:hAnsi="Times New Roman" w:cs="Times New Roman"/>
                <w:sz w:val="28"/>
                <w:szCs w:val="28"/>
                <w:lang w:eastAsia="zh-CN"/>
              </w:rPr>
              <w:t>/9</w:t>
            </w:r>
            <w:r w:rsidR="00FD1C8C" w:rsidRPr="00DB7372">
              <w:rPr>
                <w:rFonts w:ascii="Times New Roman" w:eastAsia="標楷體" w:hAnsi="Times New Roman" w:cs="Times New Roman"/>
                <w:sz w:val="28"/>
                <w:szCs w:val="28"/>
                <w:lang w:eastAsia="zh-CN"/>
              </w:rPr>
              <w:t>以來的一路下滑</w:t>
            </w:r>
            <w:r w:rsidR="002270A2" w:rsidRPr="00DB7372">
              <w:rPr>
                <w:rFonts w:ascii="Times New Roman" w:eastAsia="標楷體" w:hAnsi="Times New Roman" w:cs="Times New Roman"/>
                <w:sz w:val="28"/>
                <w:szCs w:val="28"/>
                <w:lang w:eastAsia="zh-CN"/>
              </w:rPr>
              <w:t>，</w:t>
            </w:r>
            <w:r w:rsidR="00F81E9B" w:rsidRPr="00DB7372">
              <w:rPr>
                <w:rFonts w:ascii="Times New Roman" w:eastAsia="標楷體" w:hAnsi="Times New Roman" w:cs="Times New Roman"/>
                <w:sz w:val="28"/>
                <w:szCs w:val="28"/>
                <w:lang w:eastAsia="zh-CN"/>
              </w:rPr>
              <w:t>其他</w:t>
            </w:r>
            <w:r w:rsidR="004371C5" w:rsidRPr="00DB7372">
              <w:rPr>
                <w:rFonts w:ascii="Times New Roman" w:eastAsia="標楷體" w:hAnsi="Times New Roman" w:cs="Times New Roman"/>
                <w:sz w:val="28"/>
                <w:szCs w:val="28"/>
                <w:lang w:eastAsia="zh-CN"/>
              </w:rPr>
              <w:t>「批發</w:t>
            </w:r>
            <w:r w:rsidR="00914841" w:rsidRPr="00DB7372">
              <w:rPr>
                <w:rFonts w:ascii="Times New Roman" w:eastAsia="標楷體" w:hAnsi="Times New Roman" w:cs="Times New Roman"/>
                <w:sz w:val="28"/>
                <w:szCs w:val="28"/>
                <w:lang w:eastAsia="zh-CN"/>
              </w:rPr>
              <w:t>及零售實質</w:t>
            </w:r>
            <w:r w:rsidR="00914841" w:rsidRPr="00DB7372">
              <w:rPr>
                <w:rFonts w:ascii="Times New Roman" w:eastAsia="標楷體" w:hAnsi="Times New Roman" w:cs="Times New Roman"/>
                <w:sz w:val="28"/>
                <w:szCs w:val="28"/>
                <w:lang w:eastAsia="zh-CN"/>
              </w:rPr>
              <w:t>GDP</w:t>
            </w:r>
            <w:r w:rsidR="004371C5" w:rsidRPr="00DB7372">
              <w:rPr>
                <w:rFonts w:ascii="Times New Roman" w:eastAsia="標楷體" w:hAnsi="Times New Roman" w:cs="Times New Roman"/>
                <w:sz w:val="28"/>
                <w:szCs w:val="28"/>
                <w:lang w:eastAsia="zh-CN"/>
              </w:rPr>
              <w:t>」</w:t>
            </w:r>
            <w:r w:rsidR="00914841" w:rsidRPr="00DB7372">
              <w:rPr>
                <w:rFonts w:ascii="Times New Roman" w:eastAsia="標楷體" w:hAnsi="Times New Roman" w:cs="Times New Roman"/>
                <w:sz w:val="28"/>
                <w:szCs w:val="28"/>
                <w:lang w:eastAsia="zh-CN"/>
              </w:rPr>
              <w:t>,</w:t>
            </w:r>
            <w:r w:rsidR="004F111D" w:rsidRPr="00DB7372">
              <w:rPr>
                <w:rFonts w:ascii="Times New Roman" w:eastAsia="標楷體" w:hAnsi="Times New Roman" w:cs="Times New Roman"/>
                <w:sz w:val="28"/>
                <w:szCs w:val="28"/>
                <w:lang w:eastAsia="zh-CN"/>
              </w:rPr>
              <w:t>「金融及保險實質</w:t>
            </w:r>
            <w:r w:rsidR="004F111D" w:rsidRPr="00DB7372">
              <w:rPr>
                <w:rFonts w:ascii="Times New Roman" w:eastAsia="標楷體" w:hAnsi="Times New Roman" w:cs="Times New Roman"/>
                <w:sz w:val="28"/>
                <w:szCs w:val="28"/>
                <w:lang w:eastAsia="zh-CN"/>
              </w:rPr>
              <w:lastRenderedPageBreak/>
              <w:t>GDP</w:t>
            </w:r>
            <w:r w:rsidR="004F111D" w:rsidRPr="00DB7372">
              <w:rPr>
                <w:rFonts w:ascii="Times New Roman" w:eastAsia="標楷體" w:hAnsi="Times New Roman" w:cs="Times New Roman"/>
                <w:sz w:val="28"/>
                <w:szCs w:val="28"/>
                <w:lang w:eastAsia="zh-CN"/>
              </w:rPr>
              <w:t>」</w:t>
            </w:r>
            <w:r w:rsidR="00F211F9" w:rsidRPr="00DB7372">
              <w:rPr>
                <w:rFonts w:ascii="Times New Roman" w:eastAsia="標楷體" w:hAnsi="Times New Roman" w:cs="Times New Roman"/>
                <w:sz w:val="28"/>
                <w:szCs w:val="28"/>
                <w:lang w:eastAsia="zh-CN"/>
              </w:rPr>
              <w:t>與「水電瓦斯與燃料</w:t>
            </w:r>
            <w:r w:rsidR="00AE25D9" w:rsidRPr="00DB7372">
              <w:rPr>
                <w:rFonts w:ascii="Times New Roman" w:eastAsia="標楷體" w:hAnsi="Times New Roman" w:cs="Times New Roman"/>
                <w:sz w:val="28"/>
                <w:szCs w:val="28"/>
                <w:lang w:eastAsia="zh-CN"/>
              </w:rPr>
              <w:t>」至四月還是</w:t>
            </w:r>
            <w:r w:rsidR="004A38AE" w:rsidRPr="00DB7372">
              <w:rPr>
                <w:rFonts w:ascii="Times New Roman" w:eastAsia="標楷體" w:hAnsi="Times New Roman" w:cs="Times New Roman"/>
                <w:sz w:val="28"/>
                <w:szCs w:val="28"/>
                <w:lang w:eastAsia="zh-CN"/>
              </w:rPr>
              <w:t>爬升的</w:t>
            </w:r>
            <w:r w:rsidR="00844049" w:rsidRPr="00DB7372">
              <w:rPr>
                <w:rFonts w:ascii="Times New Roman" w:eastAsia="標楷體" w:hAnsi="Times New Roman" w:cs="Times New Roman"/>
                <w:sz w:val="28"/>
                <w:szCs w:val="28"/>
                <w:lang w:eastAsia="zh-CN"/>
              </w:rPr>
              <w:t>。</w:t>
            </w:r>
            <w:r w:rsidR="00CB79E9" w:rsidRPr="00DB7372">
              <w:rPr>
                <w:rFonts w:ascii="Times New Roman" w:eastAsia="標楷體" w:hAnsi="Times New Roman" w:cs="Times New Roman"/>
                <w:sz w:val="28"/>
                <w:szCs w:val="28"/>
                <w:lang w:eastAsia="zh-CN"/>
              </w:rPr>
              <w:t>可</w:t>
            </w:r>
            <w:r w:rsidR="004A53EA" w:rsidRPr="00DB7372">
              <w:rPr>
                <w:rFonts w:ascii="Times New Roman" w:eastAsia="標楷體" w:hAnsi="Times New Roman" w:cs="Times New Roman"/>
                <w:sz w:val="28"/>
                <w:szCs w:val="28"/>
                <w:lang w:eastAsia="zh-CN"/>
              </w:rPr>
              <w:t>見</w:t>
            </w:r>
            <w:r w:rsidR="00354F39" w:rsidRPr="00DB7372">
              <w:rPr>
                <w:rFonts w:ascii="Times New Roman" w:eastAsia="標楷體" w:hAnsi="Times New Roman" w:cs="Times New Roman"/>
                <w:sz w:val="28"/>
                <w:szCs w:val="28"/>
                <w:lang w:eastAsia="zh-CN"/>
              </w:rPr>
              <w:t>代表</w:t>
            </w:r>
            <w:r w:rsidR="004A53EA" w:rsidRPr="00DB7372">
              <w:rPr>
                <w:rFonts w:ascii="Times New Roman" w:eastAsia="標楷體" w:hAnsi="Times New Roman" w:cs="Times New Roman"/>
                <w:sz w:val="28"/>
                <w:szCs w:val="28"/>
                <w:lang w:eastAsia="zh-CN"/>
              </w:rPr>
              <w:t>整體景氣的</w:t>
            </w:r>
            <w:r w:rsidR="00354F39" w:rsidRPr="00DB7372">
              <w:rPr>
                <w:rFonts w:ascii="Times New Roman" w:eastAsia="標楷體" w:hAnsi="Times New Roman" w:cs="Times New Roman"/>
                <w:sz w:val="28"/>
                <w:szCs w:val="28"/>
                <w:lang w:eastAsia="zh-CN"/>
              </w:rPr>
              <w:t>同行指標</w:t>
            </w:r>
            <w:r w:rsidR="004A53EA" w:rsidRPr="00DB7372">
              <w:rPr>
                <w:rFonts w:ascii="Times New Roman" w:eastAsia="標楷體" w:hAnsi="Times New Roman" w:cs="Times New Roman"/>
                <w:sz w:val="28"/>
                <w:szCs w:val="28"/>
                <w:lang w:eastAsia="zh-CN"/>
              </w:rPr>
              <w:t>實際走勢</w:t>
            </w:r>
            <w:r w:rsidR="00697A28" w:rsidRPr="00DB7372">
              <w:rPr>
                <w:rFonts w:ascii="Times New Roman" w:eastAsia="標楷體" w:hAnsi="Times New Roman" w:cs="Times New Roman"/>
                <w:sz w:val="28"/>
                <w:szCs w:val="28"/>
                <w:lang w:eastAsia="zh-CN"/>
              </w:rPr>
              <w:t>雖然</w:t>
            </w:r>
            <w:r w:rsidR="00852CA8" w:rsidRPr="00DB7372">
              <w:rPr>
                <w:rFonts w:ascii="Times New Roman" w:eastAsia="標楷體" w:hAnsi="Times New Roman" w:cs="Times New Roman"/>
                <w:sz w:val="28"/>
                <w:szCs w:val="28"/>
                <w:lang w:eastAsia="zh-CN"/>
              </w:rPr>
              <w:t>至四月還在</w:t>
            </w:r>
            <w:r w:rsidR="003126E7" w:rsidRPr="003126E7">
              <w:rPr>
                <w:rFonts w:ascii="Times New Roman" w:eastAsia="標楷體" w:hAnsi="Times New Roman" w:cs="Times New Roman" w:hint="eastAsia"/>
                <w:sz w:val="28"/>
                <w:szCs w:val="28"/>
                <w:lang w:eastAsia="zh-CN"/>
              </w:rPr>
              <w:t>復甦</w:t>
            </w:r>
            <w:r w:rsidR="00E33138" w:rsidRPr="00DB7372">
              <w:rPr>
                <w:rFonts w:ascii="Times New Roman" w:eastAsia="標楷體" w:hAnsi="Times New Roman" w:cs="Times New Roman"/>
                <w:sz w:val="28"/>
                <w:szCs w:val="28"/>
                <w:lang w:eastAsia="zh-CN"/>
              </w:rPr>
              <w:t>途中，但受到「</w:t>
            </w:r>
            <w:r w:rsidR="00570A09" w:rsidRPr="00DB7372">
              <w:rPr>
                <w:rFonts w:ascii="Times New Roman" w:eastAsia="標楷體" w:hAnsi="Times New Roman" w:cs="Times New Roman"/>
                <w:sz w:val="28"/>
                <w:szCs w:val="28"/>
                <w:lang w:eastAsia="zh-CN"/>
              </w:rPr>
              <w:t>建築循環</w:t>
            </w:r>
            <w:r w:rsidR="00E33138" w:rsidRPr="00DB7372">
              <w:rPr>
                <w:rFonts w:ascii="Times New Roman" w:eastAsia="標楷體" w:hAnsi="Times New Roman" w:cs="Times New Roman"/>
                <w:sz w:val="28"/>
                <w:szCs w:val="28"/>
                <w:lang w:eastAsia="zh-CN"/>
              </w:rPr>
              <w:t>」</w:t>
            </w:r>
            <w:r w:rsidR="00570A09" w:rsidRPr="00DB7372">
              <w:rPr>
                <w:rFonts w:ascii="Times New Roman" w:eastAsia="標楷體" w:hAnsi="Times New Roman" w:cs="Times New Roman"/>
                <w:sz w:val="28"/>
                <w:szCs w:val="28"/>
                <w:lang w:eastAsia="zh-CN"/>
              </w:rPr>
              <w:t>有關的</w:t>
            </w:r>
            <w:r w:rsidR="00C04031" w:rsidRPr="00DB7372">
              <w:rPr>
                <w:rFonts w:ascii="Times New Roman" w:eastAsia="標楷體" w:hAnsi="Times New Roman" w:cs="Times New Roman"/>
                <w:sz w:val="28"/>
                <w:szCs w:val="28"/>
                <w:lang w:eastAsia="zh-CN"/>
              </w:rPr>
              <w:t>不動產及住宅</w:t>
            </w:r>
            <w:r w:rsidR="00A74C97" w:rsidRPr="00DB7372">
              <w:rPr>
                <w:rFonts w:ascii="Times New Roman" w:eastAsia="標楷體" w:hAnsi="Times New Roman" w:cs="Times New Roman"/>
                <w:sz w:val="28"/>
                <w:szCs w:val="28"/>
                <w:lang w:eastAsia="zh-CN"/>
              </w:rPr>
              <w:t>服務及整體服務業</w:t>
            </w:r>
            <w:r w:rsidR="00D0367C" w:rsidRPr="00DB7372">
              <w:rPr>
                <w:rFonts w:ascii="Times New Roman" w:eastAsia="標楷體" w:hAnsi="Times New Roman" w:cs="Times New Roman"/>
                <w:sz w:val="28"/>
                <w:szCs w:val="28"/>
                <w:lang w:eastAsia="zh-CN"/>
              </w:rPr>
              <w:t>就業的影響而缺力</w:t>
            </w:r>
            <w:r w:rsidR="004D7A17" w:rsidRPr="00DB7372">
              <w:rPr>
                <w:rFonts w:ascii="Times New Roman" w:eastAsia="標楷體" w:hAnsi="Times New Roman" w:cs="Times New Roman"/>
                <w:sz w:val="28"/>
                <w:szCs w:val="28"/>
                <w:lang w:eastAsia="zh-CN"/>
              </w:rPr>
              <w:t>道。</w:t>
            </w:r>
          </w:p>
          <w:p w14:paraId="3721AC96" w14:textId="21E6C3D2" w:rsidR="00E35965" w:rsidRPr="00E35965" w:rsidRDefault="004D7A17" w:rsidP="00E300BA">
            <w:pPr>
              <w:adjustRightInd w:val="0"/>
              <w:ind w:firstLineChars="200" w:firstLine="560"/>
              <w:rPr>
                <w:rFonts w:ascii="Times New Roman" w:eastAsia="SimSun" w:hAnsi="Times New Roman" w:cs="Times New Roman"/>
                <w:sz w:val="28"/>
                <w:szCs w:val="28"/>
              </w:rPr>
            </w:pPr>
            <w:r w:rsidRPr="00DB7372">
              <w:rPr>
                <w:rFonts w:ascii="Times New Roman" w:eastAsia="標楷體" w:hAnsi="Times New Roman" w:cs="Times New Roman"/>
                <w:sz w:val="28"/>
                <w:szCs w:val="28"/>
                <w:lang w:eastAsia="zh-CN"/>
              </w:rPr>
              <w:t>按</w:t>
            </w:r>
            <w:r w:rsidR="006960AB" w:rsidRPr="00DB7372">
              <w:rPr>
                <w:rFonts w:ascii="Times New Roman" w:eastAsia="標楷體" w:hAnsi="Times New Roman" w:cs="Times New Roman"/>
                <w:sz w:val="28"/>
                <w:szCs w:val="28"/>
                <w:lang w:eastAsia="zh-CN"/>
              </w:rPr>
              <w:t>「建築循環」是</w:t>
            </w:r>
            <w:r w:rsidR="002B0003" w:rsidRPr="00DB7372">
              <w:rPr>
                <w:rFonts w:ascii="Times New Roman" w:eastAsia="標楷體" w:hAnsi="Times New Roman" w:cs="Times New Roman"/>
                <w:sz w:val="28"/>
                <w:szCs w:val="28"/>
                <w:lang w:eastAsia="zh-CN"/>
              </w:rPr>
              <w:t>比「固定投資循環」</w:t>
            </w:r>
            <w:r w:rsidR="007420EF" w:rsidRPr="00DB7372">
              <w:rPr>
                <w:rFonts w:ascii="Times New Roman" w:eastAsia="標楷體" w:hAnsi="Times New Roman" w:cs="Times New Roman"/>
                <w:sz w:val="28"/>
                <w:szCs w:val="28"/>
                <w:lang w:eastAsia="zh-CN"/>
              </w:rPr>
              <w:t>周期還長的一種長波循環。</w:t>
            </w:r>
            <w:r w:rsidR="001B2217" w:rsidRPr="00DB7372">
              <w:rPr>
                <w:rFonts w:ascii="Times New Roman" w:eastAsia="標楷體" w:hAnsi="Times New Roman" w:cs="Times New Roman"/>
                <w:sz w:val="28"/>
                <w:szCs w:val="28"/>
                <w:lang w:eastAsia="zh-CN"/>
              </w:rPr>
              <w:t>筆者</w:t>
            </w:r>
            <w:r w:rsidR="00CE2767" w:rsidRPr="00DB7372">
              <w:rPr>
                <w:rFonts w:ascii="Times New Roman" w:eastAsia="標楷體" w:hAnsi="Times New Roman" w:cs="Times New Roman"/>
                <w:sz w:val="28"/>
                <w:szCs w:val="28"/>
                <w:lang w:eastAsia="zh-CN"/>
              </w:rPr>
              <w:t>就內</w:t>
            </w:r>
            <w:r w:rsidR="00702575" w:rsidRPr="00DB7372">
              <w:rPr>
                <w:rFonts w:ascii="Times New Roman" w:eastAsia="標楷體" w:hAnsi="Times New Roman" w:cs="Times New Roman"/>
                <w:sz w:val="28"/>
                <w:szCs w:val="28"/>
                <w:lang w:eastAsia="zh-CN"/>
              </w:rPr>
              <w:t>政部發表的《台灣房</w:t>
            </w:r>
            <w:r w:rsidR="00C846C6" w:rsidRPr="00DB7372">
              <w:rPr>
                <w:rFonts w:ascii="Times New Roman" w:eastAsia="標楷體" w:hAnsi="Times New Roman" w:cs="Times New Roman"/>
                <w:sz w:val="28"/>
                <w:szCs w:val="28"/>
                <w:lang w:eastAsia="zh-CN"/>
              </w:rPr>
              <w:t>地產景氣動向季報</w:t>
            </w:r>
            <w:r w:rsidR="00116079" w:rsidRPr="00DB7372">
              <w:rPr>
                <w:rFonts w:ascii="Times New Roman" w:eastAsia="標楷體" w:hAnsi="Times New Roman" w:cs="Times New Roman"/>
                <w:sz w:val="28"/>
                <w:szCs w:val="28"/>
                <w:lang w:eastAsia="zh-CN"/>
              </w:rPr>
              <w:t>》觀察發現</w:t>
            </w:r>
            <w:r w:rsidR="00800E22" w:rsidRPr="00DB7372">
              <w:rPr>
                <w:rFonts w:ascii="Times New Roman" w:eastAsia="標楷體" w:hAnsi="Times New Roman" w:cs="Times New Roman"/>
                <w:sz w:val="28"/>
                <w:szCs w:val="28"/>
                <w:lang w:eastAsia="zh-CN"/>
              </w:rPr>
              <w:t>房地產景氣循環</w:t>
            </w:r>
            <w:r w:rsidR="00463C91" w:rsidRPr="00DB7372">
              <w:rPr>
                <w:rFonts w:ascii="Times New Roman" w:eastAsia="標楷體" w:hAnsi="Times New Roman" w:cs="Times New Roman"/>
                <w:sz w:val="28"/>
                <w:szCs w:val="28"/>
                <w:lang w:eastAsia="zh-CN"/>
              </w:rPr>
              <w:t>比</w:t>
            </w:r>
            <w:r w:rsidR="007F7180" w:rsidRPr="00DB7372">
              <w:rPr>
                <w:rFonts w:ascii="Times New Roman" w:eastAsia="標楷體" w:hAnsi="Times New Roman" w:cs="Times New Roman"/>
                <w:sz w:val="28"/>
                <w:szCs w:val="28"/>
                <w:lang w:eastAsia="zh-CN"/>
              </w:rPr>
              <w:t>一般景氣循環領先</w:t>
            </w:r>
            <w:r w:rsidR="009A2A04" w:rsidRPr="00DB7372">
              <w:rPr>
                <w:rFonts w:ascii="Times New Roman" w:eastAsia="標楷體" w:hAnsi="Times New Roman" w:cs="Times New Roman"/>
                <w:sz w:val="28"/>
                <w:szCs w:val="28"/>
                <w:lang w:eastAsia="zh-CN"/>
              </w:rPr>
              <w:t>，</w:t>
            </w:r>
            <w:r w:rsidR="009B4419" w:rsidRPr="00DB7372">
              <w:rPr>
                <w:rFonts w:ascii="Times New Roman" w:eastAsia="標楷體" w:hAnsi="Times New Roman" w:cs="Times New Roman"/>
                <w:sz w:val="28"/>
                <w:szCs w:val="28"/>
                <w:lang w:eastAsia="zh-CN"/>
              </w:rPr>
              <w:t>平均周</w:t>
            </w:r>
            <w:r w:rsidR="00FD2A60" w:rsidRPr="00DB7372">
              <w:rPr>
                <w:rFonts w:ascii="Times New Roman" w:eastAsia="標楷體" w:hAnsi="Times New Roman" w:cs="Times New Roman"/>
                <w:sz w:val="28"/>
                <w:szCs w:val="28"/>
                <w:lang w:eastAsia="zh-CN"/>
              </w:rPr>
              <w:t>期</w:t>
            </w:r>
            <w:r w:rsidR="003578E7" w:rsidRPr="00DB7372">
              <w:rPr>
                <w:rFonts w:ascii="Times New Roman" w:eastAsia="標楷體" w:hAnsi="Times New Roman" w:cs="Times New Roman"/>
                <w:sz w:val="28"/>
                <w:szCs w:val="28"/>
                <w:lang w:eastAsia="zh-CN"/>
              </w:rPr>
              <w:t>長為</w:t>
            </w:r>
            <w:r w:rsidR="003578E7" w:rsidRPr="00DB7372">
              <w:rPr>
                <w:rFonts w:ascii="Times New Roman" w:eastAsia="標楷體" w:hAnsi="Times New Roman" w:cs="Times New Roman"/>
                <w:sz w:val="28"/>
                <w:szCs w:val="28"/>
                <w:lang w:eastAsia="zh-CN"/>
              </w:rPr>
              <w:t>100</w:t>
            </w:r>
            <w:r w:rsidR="003578E7" w:rsidRPr="00DB7372">
              <w:rPr>
                <w:rFonts w:ascii="Times New Roman" w:eastAsia="標楷體" w:hAnsi="Times New Roman" w:cs="Times New Roman"/>
                <w:sz w:val="28"/>
                <w:szCs w:val="28"/>
                <w:lang w:eastAsia="zh-CN"/>
              </w:rPr>
              <w:t>個月</w:t>
            </w:r>
            <w:r w:rsidR="00B8429C" w:rsidRPr="00DB7372">
              <w:rPr>
                <w:rFonts w:ascii="Times New Roman" w:eastAsia="標楷體" w:hAnsi="Times New Roman" w:cs="Times New Roman"/>
                <w:sz w:val="28"/>
                <w:szCs w:val="28"/>
                <w:lang w:eastAsia="zh-CN"/>
              </w:rPr>
              <w:t>，但平均</w:t>
            </w:r>
            <w:r w:rsidR="00D0308D" w:rsidRPr="00DB7372">
              <w:rPr>
                <w:rFonts w:ascii="Times New Roman" w:eastAsia="標楷體" w:hAnsi="Times New Roman" w:cs="Times New Roman"/>
                <w:sz w:val="28"/>
                <w:szCs w:val="28"/>
                <w:lang w:eastAsia="zh-CN"/>
              </w:rPr>
              <w:t>擴張期為</w:t>
            </w:r>
            <w:r w:rsidR="00D0308D" w:rsidRPr="00DB7372">
              <w:rPr>
                <w:rFonts w:ascii="Times New Roman" w:eastAsia="標楷體" w:hAnsi="Times New Roman" w:cs="Times New Roman"/>
                <w:sz w:val="28"/>
                <w:szCs w:val="28"/>
                <w:lang w:eastAsia="zh-CN"/>
              </w:rPr>
              <w:t>30</w:t>
            </w:r>
            <w:r w:rsidR="00D0308D" w:rsidRPr="00DB7372">
              <w:rPr>
                <w:rFonts w:ascii="Times New Roman" w:eastAsia="標楷體" w:hAnsi="Times New Roman" w:cs="Times New Roman"/>
                <w:sz w:val="28"/>
                <w:szCs w:val="28"/>
                <w:lang w:eastAsia="zh-CN"/>
              </w:rPr>
              <w:t>個月，收</w:t>
            </w:r>
            <w:r w:rsidR="00975E1F" w:rsidRPr="00DB7372">
              <w:rPr>
                <w:rFonts w:ascii="Times New Roman" w:eastAsia="標楷體" w:hAnsi="Times New Roman" w:cs="Times New Roman"/>
                <w:sz w:val="28"/>
                <w:szCs w:val="28"/>
                <w:lang w:eastAsia="zh-CN"/>
              </w:rPr>
              <w:t>縮期為</w:t>
            </w:r>
            <w:r w:rsidR="00975E1F" w:rsidRPr="00DB7372">
              <w:rPr>
                <w:rFonts w:ascii="Times New Roman" w:eastAsia="標楷體" w:hAnsi="Times New Roman" w:cs="Times New Roman"/>
                <w:sz w:val="28"/>
                <w:szCs w:val="28"/>
                <w:lang w:eastAsia="zh-CN"/>
              </w:rPr>
              <w:t>73</w:t>
            </w:r>
            <w:r w:rsidR="00975E1F" w:rsidRPr="00DB7372">
              <w:rPr>
                <w:rFonts w:ascii="Times New Roman" w:eastAsia="標楷體" w:hAnsi="Times New Roman" w:cs="Times New Roman"/>
                <w:sz w:val="28"/>
                <w:szCs w:val="28"/>
                <w:lang w:eastAsia="zh-CN"/>
              </w:rPr>
              <w:t>個月，</w:t>
            </w:r>
            <w:r w:rsidR="00B63019" w:rsidRPr="00DB7372">
              <w:rPr>
                <w:rFonts w:ascii="Times New Roman" w:eastAsia="標楷體" w:hAnsi="Times New Roman" w:cs="Times New Roman"/>
                <w:sz w:val="28"/>
                <w:szCs w:val="28"/>
                <w:lang w:eastAsia="zh-CN"/>
              </w:rPr>
              <w:t>這跟其他循環</w:t>
            </w:r>
            <w:r w:rsidR="00B91C81" w:rsidRPr="00DB7372">
              <w:rPr>
                <w:rFonts w:ascii="Times New Roman" w:eastAsia="標楷體" w:hAnsi="Times New Roman" w:cs="Times New Roman"/>
                <w:sz w:val="28"/>
                <w:szCs w:val="28"/>
                <w:lang w:eastAsia="zh-CN"/>
              </w:rPr>
              <w:t>收縮期</w:t>
            </w:r>
            <w:r w:rsidR="00D1715E" w:rsidRPr="00DB7372">
              <w:rPr>
                <w:rFonts w:ascii="Times New Roman" w:eastAsia="標楷體" w:hAnsi="Times New Roman" w:cs="Times New Roman"/>
                <w:sz w:val="28"/>
                <w:szCs w:val="28"/>
                <w:lang w:eastAsia="zh-CN"/>
              </w:rPr>
              <w:t>較擴張期為短的行</w:t>
            </w:r>
            <w:r w:rsidR="003A65B6" w:rsidRPr="00DB7372">
              <w:rPr>
                <w:rFonts w:ascii="Times New Roman" w:eastAsia="標楷體" w:hAnsi="Times New Roman" w:cs="Times New Roman"/>
                <w:sz w:val="28"/>
                <w:szCs w:val="28"/>
                <w:lang w:eastAsia="zh-CN"/>
              </w:rPr>
              <w:t>為相反</w:t>
            </w:r>
            <w:r w:rsidR="008C7552" w:rsidRPr="00DB7372">
              <w:rPr>
                <w:rFonts w:ascii="Times New Roman" w:eastAsia="標楷體" w:hAnsi="Times New Roman" w:cs="Times New Roman"/>
                <w:sz w:val="28"/>
                <w:szCs w:val="28"/>
                <w:lang w:eastAsia="zh-CN"/>
              </w:rPr>
              <w:t>，</w:t>
            </w:r>
            <w:r w:rsidR="00E034A2" w:rsidRPr="00DB7372">
              <w:rPr>
                <w:rFonts w:ascii="Times New Roman" w:eastAsia="標楷體" w:hAnsi="Times New Roman" w:cs="Times New Roman"/>
                <w:sz w:val="28"/>
                <w:szCs w:val="28"/>
                <w:lang w:eastAsia="zh-CN"/>
              </w:rPr>
              <w:t>也</w:t>
            </w:r>
            <w:r w:rsidR="00C97CAA" w:rsidRPr="00DB7372">
              <w:rPr>
                <w:rFonts w:ascii="Times New Roman" w:eastAsia="標楷體" w:hAnsi="Times New Roman" w:cs="Times New Roman"/>
                <w:sz w:val="28"/>
                <w:szCs w:val="28"/>
                <w:lang w:eastAsia="zh-CN"/>
              </w:rPr>
              <w:t>有</w:t>
            </w:r>
            <w:r w:rsidR="00E034A2" w:rsidRPr="00DB7372">
              <w:rPr>
                <w:rFonts w:ascii="Times New Roman" w:eastAsia="標楷體" w:hAnsi="Times New Roman" w:cs="Times New Roman"/>
                <w:sz w:val="28"/>
                <w:szCs w:val="28"/>
                <w:lang w:eastAsia="zh-CN"/>
              </w:rPr>
              <w:t>人</w:t>
            </w:r>
            <w:r w:rsidR="00C97CAA" w:rsidRPr="00DB7372">
              <w:rPr>
                <w:rFonts w:ascii="Times New Roman" w:eastAsia="標楷體" w:hAnsi="Times New Roman" w:cs="Times New Roman"/>
                <w:sz w:val="28"/>
                <w:szCs w:val="28"/>
                <w:lang w:eastAsia="zh-CN"/>
              </w:rPr>
              <w:t>視為一般景氣的</w:t>
            </w:r>
            <w:r w:rsidR="00635574" w:rsidRPr="00DB7372">
              <w:rPr>
                <w:rFonts w:ascii="Times New Roman" w:eastAsia="標楷體" w:hAnsi="Times New Roman" w:cs="Times New Roman"/>
                <w:sz w:val="28"/>
                <w:szCs w:val="28"/>
                <w:lang w:eastAsia="zh-CN"/>
              </w:rPr>
              <w:t>「</w:t>
            </w:r>
            <w:r w:rsidR="00C97CAA" w:rsidRPr="00DB7372">
              <w:rPr>
                <w:rFonts w:ascii="Times New Roman" w:eastAsia="標楷體" w:hAnsi="Times New Roman" w:cs="Times New Roman"/>
                <w:sz w:val="28"/>
                <w:szCs w:val="28"/>
                <w:lang w:eastAsia="zh-CN"/>
              </w:rPr>
              <w:t>逆循環</w:t>
            </w:r>
            <w:r w:rsidR="00635574" w:rsidRPr="00DB7372">
              <w:rPr>
                <w:rFonts w:ascii="Times New Roman" w:eastAsia="標楷體" w:hAnsi="Times New Roman" w:cs="Times New Roman"/>
                <w:sz w:val="28"/>
                <w:szCs w:val="28"/>
                <w:lang w:eastAsia="zh-CN"/>
              </w:rPr>
              <w:t>」</w:t>
            </w:r>
            <w:r w:rsidR="00507BC8" w:rsidRPr="00DB7372">
              <w:rPr>
                <w:rFonts w:ascii="Times New Roman" w:eastAsia="標楷體" w:hAnsi="Times New Roman" w:cs="Times New Roman"/>
                <w:sz w:val="28"/>
                <w:szCs w:val="28"/>
                <w:lang w:eastAsia="zh-CN"/>
              </w:rPr>
              <w:t>。</w:t>
            </w:r>
            <w:r w:rsidR="00365C73" w:rsidRPr="00DB7372">
              <w:rPr>
                <w:rFonts w:ascii="Times New Roman" w:eastAsia="標楷體" w:hAnsi="Times New Roman" w:cs="Times New Roman"/>
                <w:sz w:val="28"/>
                <w:szCs w:val="28"/>
                <w:lang w:eastAsia="zh-CN"/>
              </w:rPr>
              <w:t>報載</w:t>
            </w:r>
            <w:r w:rsidR="00365C73" w:rsidRPr="00DB7372">
              <w:rPr>
                <w:rFonts w:ascii="Times New Roman" w:eastAsia="標楷體" w:hAnsi="Times New Roman" w:cs="Times New Roman"/>
                <w:sz w:val="28"/>
                <w:szCs w:val="28"/>
                <w:lang w:eastAsia="zh-CN"/>
              </w:rPr>
              <w:t>2014</w:t>
            </w:r>
            <w:r w:rsidR="00365C73" w:rsidRPr="00DB7372">
              <w:rPr>
                <w:rFonts w:ascii="Times New Roman" w:eastAsia="標楷體" w:hAnsi="Times New Roman" w:cs="Times New Roman"/>
                <w:sz w:val="28"/>
                <w:szCs w:val="28"/>
                <w:lang w:eastAsia="zh-CN"/>
              </w:rPr>
              <w:t>年</w:t>
            </w:r>
            <w:r w:rsidR="00365C73" w:rsidRPr="00DB7372">
              <w:rPr>
                <w:rFonts w:ascii="Times New Roman" w:eastAsia="標楷體" w:hAnsi="Times New Roman" w:cs="Times New Roman"/>
                <w:sz w:val="28"/>
                <w:szCs w:val="28"/>
                <w:lang w:eastAsia="zh-CN"/>
              </w:rPr>
              <w:t>6</w:t>
            </w:r>
            <w:r w:rsidR="00365C73" w:rsidRPr="00DB7372">
              <w:rPr>
                <w:rFonts w:ascii="Times New Roman" w:eastAsia="標楷體" w:hAnsi="Times New Roman" w:cs="Times New Roman"/>
                <w:sz w:val="28"/>
                <w:szCs w:val="28"/>
                <w:lang w:eastAsia="zh-CN"/>
              </w:rPr>
              <w:t>月是</w:t>
            </w:r>
            <w:r w:rsidR="001C6970" w:rsidRPr="00DB7372">
              <w:rPr>
                <w:rFonts w:ascii="Times New Roman" w:eastAsia="標楷體" w:hAnsi="Times New Roman" w:cs="Times New Roman"/>
                <w:sz w:val="28"/>
                <w:szCs w:val="28"/>
                <w:lang w:eastAsia="zh-CN"/>
              </w:rPr>
              <w:t>台灣房價的高點，</w:t>
            </w:r>
            <w:r w:rsidR="00F6691C" w:rsidRPr="00DB7372">
              <w:rPr>
                <w:rFonts w:ascii="Times New Roman" w:eastAsia="標楷體" w:hAnsi="Times New Roman" w:cs="Times New Roman"/>
                <w:sz w:val="28"/>
                <w:szCs w:val="28"/>
                <w:lang w:eastAsia="zh-CN"/>
              </w:rPr>
              <w:t>比照</w:t>
            </w:r>
            <w:r w:rsidR="00974540" w:rsidRPr="00DB7372">
              <w:rPr>
                <w:rFonts w:ascii="Times New Roman" w:eastAsia="標楷體" w:hAnsi="Times New Roman" w:cs="Times New Roman"/>
                <w:sz w:val="28"/>
                <w:szCs w:val="28"/>
                <w:lang w:eastAsia="zh-CN"/>
              </w:rPr>
              <w:t>台灣建築循環</w:t>
            </w:r>
            <w:r w:rsidR="00F6691C" w:rsidRPr="00DB7372">
              <w:rPr>
                <w:rFonts w:ascii="Times New Roman" w:eastAsia="標楷體" w:hAnsi="Times New Roman" w:cs="Times New Roman"/>
                <w:sz w:val="28"/>
                <w:szCs w:val="28"/>
                <w:lang w:eastAsia="zh-CN"/>
              </w:rPr>
              <w:t>過去的行為</w:t>
            </w:r>
            <w:r w:rsidR="008337C3" w:rsidRPr="00DB7372">
              <w:rPr>
                <w:rFonts w:ascii="Times New Roman" w:eastAsia="標楷體" w:hAnsi="Times New Roman" w:cs="Times New Roman"/>
                <w:sz w:val="28"/>
                <w:szCs w:val="28"/>
                <w:lang w:eastAsia="zh-CN"/>
              </w:rPr>
              <w:t>，</w:t>
            </w:r>
            <w:r w:rsidR="001C6970" w:rsidRPr="00DB7372">
              <w:rPr>
                <w:rFonts w:ascii="Times New Roman" w:eastAsia="標楷體" w:hAnsi="Times New Roman" w:cs="Times New Roman"/>
                <w:sz w:val="28"/>
                <w:szCs w:val="28"/>
                <w:lang w:eastAsia="zh-CN"/>
              </w:rPr>
              <w:t>表示目前</w:t>
            </w:r>
            <w:r w:rsidR="00B72594" w:rsidRPr="00DB7372">
              <w:rPr>
                <w:rFonts w:ascii="Times New Roman" w:eastAsia="標楷體" w:hAnsi="Times New Roman" w:cs="Times New Roman"/>
                <w:sz w:val="28"/>
                <w:szCs w:val="28"/>
                <w:lang w:eastAsia="zh-CN"/>
              </w:rPr>
              <w:t>仍處建築循環的收縮期</w:t>
            </w:r>
            <w:r w:rsidR="00BD69B9" w:rsidRPr="00DB7372">
              <w:rPr>
                <w:rFonts w:ascii="Times New Roman" w:eastAsia="標楷體" w:hAnsi="Times New Roman" w:cs="Times New Roman"/>
                <w:sz w:val="28"/>
                <w:szCs w:val="28"/>
                <w:lang w:eastAsia="zh-CN"/>
              </w:rPr>
              <w:t>，</w:t>
            </w:r>
            <w:r w:rsidR="008337C3" w:rsidRPr="00DB7372">
              <w:rPr>
                <w:rFonts w:ascii="Times New Roman" w:eastAsia="標楷體" w:hAnsi="Times New Roman" w:cs="Times New Roman"/>
                <w:sz w:val="28"/>
                <w:szCs w:val="28"/>
                <w:lang w:eastAsia="zh-CN"/>
              </w:rPr>
              <w:t>甚至</w:t>
            </w:r>
            <w:r w:rsidR="00BD69B9" w:rsidRPr="00DB7372">
              <w:rPr>
                <w:rFonts w:ascii="Times New Roman" w:eastAsia="標楷體" w:hAnsi="Times New Roman" w:cs="Times New Roman"/>
                <w:sz w:val="28"/>
                <w:szCs w:val="28"/>
                <w:lang w:eastAsia="zh-CN"/>
              </w:rPr>
              <w:t>直到</w:t>
            </w:r>
            <w:r w:rsidR="00BD69B9" w:rsidRPr="00DB7372">
              <w:rPr>
                <w:rFonts w:ascii="Times New Roman" w:eastAsia="標楷體" w:hAnsi="Times New Roman" w:cs="Times New Roman"/>
                <w:sz w:val="28"/>
                <w:szCs w:val="28"/>
                <w:lang w:eastAsia="zh-CN"/>
              </w:rPr>
              <w:t>2020</w:t>
            </w:r>
            <w:r w:rsidR="00591989" w:rsidRPr="00DB7372">
              <w:rPr>
                <w:rFonts w:ascii="Times New Roman" w:eastAsia="標楷體" w:hAnsi="Times New Roman" w:cs="Times New Roman"/>
                <w:sz w:val="28"/>
                <w:szCs w:val="28"/>
                <w:lang w:eastAsia="zh-CN"/>
              </w:rPr>
              <w:t>年中都</w:t>
            </w:r>
            <w:r w:rsidR="00980242" w:rsidRPr="00DB7372">
              <w:rPr>
                <w:rFonts w:ascii="Times New Roman" w:eastAsia="標楷體" w:hAnsi="Times New Roman" w:cs="Times New Roman"/>
                <w:sz w:val="28"/>
                <w:szCs w:val="28"/>
                <w:lang w:eastAsia="zh-CN"/>
              </w:rPr>
              <w:t>難</w:t>
            </w:r>
            <w:r w:rsidR="00591989" w:rsidRPr="00DB7372">
              <w:rPr>
                <w:rFonts w:ascii="Times New Roman" w:eastAsia="標楷體" w:hAnsi="Times New Roman" w:cs="Times New Roman"/>
                <w:sz w:val="28"/>
                <w:szCs w:val="28"/>
                <w:lang w:eastAsia="zh-CN"/>
              </w:rPr>
              <w:t>能樂觀</w:t>
            </w:r>
            <w:r w:rsidR="00792F02" w:rsidRPr="00DB7372">
              <w:rPr>
                <w:rFonts w:ascii="Times New Roman" w:eastAsia="標楷體" w:hAnsi="Times New Roman" w:cs="Times New Roman"/>
                <w:sz w:val="28"/>
                <w:szCs w:val="28"/>
                <w:lang w:eastAsia="zh-CN"/>
              </w:rPr>
              <w:t>。再見證</w:t>
            </w:r>
            <w:r w:rsidR="00F3386F" w:rsidRPr="00DB7372">
              <w:rPr>
                <w:rFonts w:ascii="Times New Roman" w:eastAsia="標楷體" w:hAnsi="Times New Roman" w:cs="Times New Roman"/>
                <w:sz w:val="28"/>
                <w:szCs w:val="28"/>
                <w:lang w:eastAsia="zh-CN"/>
              </w:rPr>
              <w:t>本指標系統</w:t>
            </w:r>
            <w:r w:rsidR="00553BCD" w:rsidRPr="00DB7372">
              <w:rPr>
                <w:rFonts w:ascii="Times New Roman" w:eastAsia="標楷體" w:hAnsi="Times New Roman" w:cs="Times New Roman"/>
                <w:sz w:val="28"/>
                <w:szCs w:val="28"/>
                <w:lang w:eastAsia="zh-CN"/>
              </w:rPr>
              <w:t>的不動產</w:t>
            </w:r>
            <w:r w:rsidR="00F8368B" w:rsidRPr="00DB7372">
              <w:rPr>
                <w:rFonts w:ascii="Times New Roman" w:eastAsia="標楷體" w:hAnsi="Times New Roman" w:cs="Times New Roman"/>
                <w:sz w:val="28"/>
                <w:szCs w:val="28"/>
                <w:lang w:eastAsia="zh-CN"/>
              </w:rPr>
              <w:t>及住宅服務產值在本次商業服務業</w:t>
            </w:r>
            <w:r w:rsidR="003126E7" w:rsidRPr="003126E7">
              <w:rPr>
                <w:rFonts w:ascii="Times New Roman" w:eastAsia="標楷體" w:hAnsi="Times New Roman" w:cs="Times New Roman" w:hint="eastAsia"/>
                <w:sz w:val="28"/>
                <w:szCs w:val="28"/>
                <w:lang w:eastAsia="zh-CN"/>
              </w:rPr>
              <w:t>復甦</w:t>
            </w:r>
            <w:r w:rsidR="00386C26" w:rsidRPr="00DB7372">
              <w:rPr>
                <w:rFonts w:ascii="Times New Roman" w:eastAsia="標楷體" w:hAnsi="Times New Roman" w:cs="Times New Roman"/>
                <w:sz w:val="28"/>
                <w:szCs w:val="28"/>
                <w:lang w:eastAsia="zh-CN"/>
              </w:rPr>
              <w:t>期間是一路下滑的，</w:t>
            </w:r>
            <w:r w:rsidR="00032C78" w:rsidRPr="00DB7372">
              <w:rPr>
                <w:rFonts w:ascii="Times New Roman" w:eastAsia="標楷體" w:hAnsi="Times New Roman" w:cs="Times New Roman"/>
                <w:sz w:val="28"/>
                <w:szCs w:val="28"/>
                <w:lang w:eastAsia="zh-CN"/>
              </w:rPr>
              <w:t>足見</w:t>
            </w:r>
            <w:r w:rsidR="00A058AC" w:rsidRPr="00DB7372">
              <w:rPr>
                <w:rFonts w:ascii="Times New Roman" w:eastAsia="標楷體" w:hAnsi="Times New Roman" w:cs="Times New Roman"/>
                <w:sz w:val="28"/>
                <w:szCs w:val="28"/>
                <w:lang w:eastAsia="zh-CN"/>
              </w:rPr>
              <w:t>為了</w:t>
            </w:r>
            <w:r w:rsidR="00E45660" w:rsidRPr="00DB7372">
              <w:rPr>
                <w:rFonts w:ascii="Times New Roman" w:eastAsia="標楷體" w:hAnsi="Times New Roman" w:cs="Times New Roman"/>
                <w:sz w:val="28"/>
                <w:szCs w:val="28"/>
                <w:lang w:eastAsia="zh-CN"/>
              </w:rPr>
              <w:t>景氣的安定與經濟的成長，</w:t>
            </w:r>
            <w:r w:rsidR="00032C78" w:rsidRPr="00DB7372">
              <w:rPr>
                <w:rFonts w:ascii="Times New Roman" w:eastAsia="標楷體" w:hAnsi="Times New Roman" w:cs="Times New Roman"/>
                <w:sz w:val="28"/>
                <w:szCs w:val="28"/>
                <w:lang w:eastAsia="zh-CN"/>
              </w:rPr>
              <w:t>政府的</w:t>
            </w:r>
            <w:r w:rsidR="00F55AB0" w:rsidRPr="00DB7372">
              <w:rPr>
                <w:rFonts w:ascii="Times New Roman" w:eastAsia="標楷體" w:hAnsi="Times New Roman" w:cs="Times New Roman"/>
                <w:sz w:val="28"/>
                <w:szCs w:val="28"/>
                <w:lang w:eastAsia="zh-CN"/>
              </w:rPr>
              <w:t>相關</w:t>
            </w:r>
            <w:r w:rsidR="00032C78" w:rsidRPr="00DB7372">
              <w:rPr>
                <w:rFonts w:ascii="Times New Roman" w:eastAsia="標楷體" w:hAnsi="Times New Roman" w:cs="Times New Roman"/>
                <w:sz w:val="28"/>
                <w:szCs w:val="28"/>
                <w:lang w:eastAsia="zh-CN"/>
              </w:rPr>
              <w:t>房地產</w:t>
            </w:r>
            <w:r w:rsidR="00096DEF" w:rsidRPr="00DB7372">
              <w:rPr>
                <w:rFonts w:ascii="Times New Roman" w:eastAsia="標楷體" w:hAnsi="Times New Roman" w:cs="Times New Roman"/>
                <w:sz w:val="28"/>
                <w:szCs w:val="28"/>
                <w:lang w:eastAsia="zh-CN"/>
              </w:rPr>
              <w:t>及住宅政策</w:t>
            </w:r>
            <w:r w:rsidR="00F55AB0" w:rsidRPr="00DB7372">
              <w:rPr>
                <w:rFonts w:ascii="Times New Roman" w:eastAsia="標楷體" w:hAnsi="Times New Roman" w:cs="Times New Roman"/>
                <w:sz w:val="28"/>
                <w:szCs w:val="28"/>
                <w:lang w:eastAsia="zh-CN"/>
              </w:rPr>
              <w:t>，包括</w:t>
            </w:r>
            <w:r w:rsidR="00120413" w:rsidRPr="00DB7372">
              <w:rPr>
                <w:rFonts w:ascii="Times New Roman" w:eastAsia="標楷體" w:hAnsi="Times New Roman" w:cs="Times New Roman"/>
                <w:sz w:val="28"/>
                <w:szCs w:val="28"/>
                <w:lang w:eastAsia="zh-CN"/>
              </w:rPr>
              <w:t>土地</w:t>
            </w:r>
            <w:r w:rsidR="00740986" w:rsidRPr="00DB7372">
              <w:rPr>
                <w:rFonts w:ascii="Times New Roman" w:eastAsia="標楷體" w:hAnsi="Times New Roman" w:cs="Times New Roman"/>
                <w:sz w:val="28"/>
                <w:szCs w:val="28"/>
                <w:lang w:eastAsia="zh-CN"/>
              </w:rPr>
              <w:t>、</w:t>
            </w:r>
            <w:r w:rsidR="00120413" w:rsidRPr="00DB7372">
              <w:rPr>
                <w:rFonts w:ascii="Times New Roman" w:eastAsia="標楷體" w:hAnsi="Times New Roman" w:cs="Times New Roman"/>
                <w:sz w:val="28"/>
                <w:szCs w:val="28"/>
                <w:lang w:eastAsia="zh-CN"/>
              </w:rPr>
              <w:t>金融</w:t>
            </w:r>
            <w:r w:rsidR="00740986" w:rsidRPr="00DB7372">
              <w:rPr>
                <w:rFonts w:ascii="Times New Roman" w:eastAsia="標楷體" w:hAnsi="Times New Roman" w:cs="Times New Roman"/>
                <w:sz w:val="28"/>
                <w:szCs w:val="28"/>
                <w:lang w:eastAsia="zh-CN"/>
              </w:rPr>
              <w:t>、</w:t>
            </w:r>
            <w:r w:rsidR="00120413" w:rsidRPr="00DB7372">
              <w:rPr>
                <w:rFonts w:ascii="Times New Roman" w:eastAsia="標楷體" w:hAnsi="Times New Roman" w:cs="Times New Roman"/>
                <w:sz w:val="28"/>
                <w:szCs w:val="28"/>
                <w:lang w:eastAsia="zh-CN"/>
              </w:rPr>
              <w:t>財稅</w:t>
            </w:r>
            <w:r w:rsidR="0077105F" w:rsidRPr="00DB7372">
              <w:rPr>
                <w:rFonts w:ascii="Times New Roman" w:eastAsia="標楷體" w:hAnsi="Times New Roman" w:cs="Times New Roman"/>
                <w:sz w:val="28"/>
                <w:szCs w:val="28"/>
                <w:lang w:eastAsia="zh-CN"/>
              </w:rPr>
              <w:t>等</w:t>
            </w:r>
            <w:r w:rsidR="00740986" w:rsidRPr="00DB7372">
              <w:rPr>
                <w:rFonts w:ascii="Times New Roman" w:eastAsia="標楷體" w:hAnsi="Times New Roman" w:cs="Times New Roman"/>
                <w:sz w:val="28"/>
                <w:szCs w:val="28"/>
                <w:lang w:eastAsia="zh-CN"/>
              </w:rPr>
              <w:t>政策與措施</w:t>
            </w:r>
            <w:r w:rsidR="00096DEF" w:rsidRPr="00DB7372">
              <w:rPr>
                <w:rFonts w:ascii="Times New Roman" w:eastAsia="標楷體" w:hAnsi="Times New Roman" w:cs="Times New Roman"/>
                <w:sz w:val="28"/>
                <w:szCs w:val="28"/>
                <w:lang w:eastAsia="zh-CN"/>
              </w:rPr>
              <w:t>在防範房</w:t>
            </w:r>
            <w:r w:rsidR="008B53C9" w:rsidRPr="00DB7372">
              <w:rPr>
                <w:rFonts w:ascii="Times New Roman" w:eastAsia="標楷體" w:hAnsi="Times New Roman" w:cs="Times New Roman"/>
                <w:sz w:val="28"/>
                <w:szCs w:val="28"/>
                <w:lang w:eastAsia="zh-CN"/>
              </w:rPr>
              <w:t>地產炒作，房價</w:t>
            </w:r>
            <w:r w:rsidR="001D2723" w:rsidRPr="00DB7372">
              <w:rPr>
                <w:rFonts w:ascii="Times New Roman" w:eastAsia="標楷體" w:hAnsi="Times New Roman" w:cs="Times New Roman"/>
                <w:sz w:val="28"/>
                <w:szCs w:val="28"/>
                <w:lang w:eastAsia="zh-CN"/>
              </w:rPr>
              <w:t>狂飆的歷史教訓重演</w:t>
            </w:r>
            <w:r w:rsidR="00A058AC" w:rsidRPr="00DB7372">
              <w:rPr>
                <w:rFonts w:ascii="Times New Roman" w:eastAsia="標楷體" w:hAnsi="Times New Roman" w:cs="Times New Roman"/>
                <w:sz w:val="28"/>
                <w:szCs w:val="28"/>
                <w:lang w:eastAsia="zh-CN"/>
              </w:rPr>
              <w:t>之際，應有</w:t>
            </w:r>
            <w:r w:rsidR="00CB2C78" w:rsidRPr="00DB7372">
              <w:rPr>
                <w:rFonts w:ascii="Times New Roman" w:eastAsia="標楷體" w:hAnsi="Times New Roman" w:cs="Times New Roman"/>
                <w:sz w:val="28"/>
                <w:szCs w:val="28"/>
                <w:lang w:eastAsia="zh-CN"/>
              </w:rPr>
              <w:t>妥</w:t>
            </w:r>
            <w:r w:rsidR="00E97028" w:rsidRPr="00DB7372">
              <w:rPr>
                <w:rFonts w:ascii="Times New Roman" w:eastAsia="標楷體" w:hAnsi="Times New Roman" w:cs="Times New Roman"/>
                <w:sz w:val="28"/>
                <w:szCs w:val="28"/>
                <w:lang w:eastAsia="zh-CN"/>
              </w:rPr>
              <w:t>適</w:t>
            </w:r>
            <w:r w:rsidR="00CB2C78" w:rsidRPr="00DB7372">
              <w:rPr>
                <w:rFonts w:ascii="Times New Roman" w:eastAsia="標楷體" w:hAnsi="Times New Roman" w:cs="Times New Roman"/>
                <w:sz w:val="28"/>
                <w:szCs w:val="28"/>
                <w:lang w:eastAsia="zh-CN"/>
              </w:rPr>
              <w:t>積極的周延</w:t>
            </w:r>
            <w:r w:rsidR="002C4FE0" w:rsidRPr="00DB7372">
              <w:rPr>
                <w:rFonts w:ascii="Times New Roman" w:eastAsia="標楷體" w:hAnsi="Times New Roman" w:cs="Times New Roman"/>
                <w:sz w:val="28"/>
                <w:szCs w:val="28"/>
                <w:lang w:eastAsia="zh-CN"/>
              </w:rPr>
              <w:t>考量</w:t>
            </w:r>
            <w:r w:rsidR="009D50B8" w:rsidRPr="00DB7372">
              <w:rPr>
                <w:rFonts w:ascii="Times New Roman" w:eastAsia="標楷體" w:hAnsi="Times New Roman" w:cs="Times New Roman"/>
                <w:sz w:val="28"/>
                <w:szCs w:val="28"/>
                <w:lang w:eastAsia="zh-CN"/>
              </w:rPr>
              <w:t>與作為</w:t>
            </w:r>
            <w:r w:rsidR="00E97028" w:rsidRPr="00DB7372">
              <w:rPr>
                <w:rFonts w:ascii="Times New Roman" w:eastAsia="標楷體" w:hAnsi="Times New Roman" w:cs="Times New Roman"/>
                <w:sz w:val="28"/>
                <w:szCs w:val="28"/>
                <w:lang w:eastAsia="zh-CN"/>
              </w:rPr>
              <w:t>。</w:t>
            </w:r>
          </w:p>
          <w:p w14:paraId="65C934FD" w14:textId="21E6C3D2" w:rsidR="00AD0492" w:rsidRPr="00DB7372" w:rsidRDefault="00AE4996" w:rsidP="000F79D3">
            <w:pPr>
              <w:adjustRightInd w:val="0"/>
              <w:ind w:firstLineChars="200" w:firstLine="561"/>
              <w:rPr>
                <w:rFonts w:ascii="Times New Roman" w:eastAsia="標楷體" w:hAnsi="Times New Roman" w:cs="Times New Roman"/>
                <w:b/>
                <w:color w:val="FF0000"/>
                <w:sz w:val="28"/>
                <w:szCs w:val="28"/>
                <w:lang w:eastAsia="zh-CN"/>
              </w:rPr>
            </w:pPr>
            <w:r w:rsidRPr="00DB7372">
              <w:rPr>
                <w:rFonts w:ascii="Times New Roman" w:eastAsia="標楷體" w:hAnsi="Times New Roman" w:cs="Times New Roman"/>
                <w:b/>
                <w:color w:val="FF0000"/>
                <w:sz w:val="28"/>
                <w:szCs w:val="28"/>
                <w:lang w:eastAsia="zh-CN"/>
              </w:rPr>
              <w:t>2017</w:t>
            </w:r>
            <w:r w:rsidRPr="00DB7372">
              <w:rPr>
                <w:rFonts w:ascii="Times New Roman" w:eastAsia="標楷體" w:hAnsi="Times New Roman" w:cs="Times New Roman"/>
                <w:b/>
                <w:color w:val="FF0000"/>
                <w:sz w:val="28"/>
                <w:szCs w:val="28"/>
                <w:lang w:eastAsia="zh-CN"/>
              </w:rPr>
              <w:t>年</w:t>
            </w:r>
            <w:r w:rsidRPr="00DB7372">
              <w:rPr>
                <w:rFonts w:ascii="Times New Roman" w:eastAsia="標楷體" w:hAnsi="Times New Roman" w:cs="Times New Roman"/>
                <w:b/>
                <w:color w:val="FF0000"/>
                <w:sz w:val="28"/>
                <w:szCs w:val="28"/>
                <w:lang w:eastAsia="zh-CN"/>
              </w:rPr>
              <w:t>5</w:t>
            </w:r>
            <w:r w:rsidRPr="00DB7372">
              <w:rPr>
                <w:rFonts w:ascii="Times New Roman" w:eastAsia="標楷體" w:hAnsi="Times New Roman" w:cs="Times New Roman"/>
                <w:b/>
                <w:color w:val="FF0000"/>
                <w:sz w:val="28"/>
                <w:szCs w:val="28"/>
                <w:lang w:eastAsia="zh-CN"/>
              </w:rPr>
              <w:t>月開始的新平庸經濟緩慢復甦</w:t>
            </w:r>
            <w:r w:rsidR="004474C9" w:rsidRPr="00DB7372">
              <w:rPr>
                <w:rFonts w:ascii="Times New Roman" w:eastAsia="標楷體" w:hAnsi="Times New Roman" w:cs="Times New Roman"/>
                <w:b/>
                <w:color w:val="FF0000"/>
                <w:sz w:val="28"/>
                <w:szCs w:val="28"/>
                <w:lang w:eastAsia="zh-CN"/>
              </w:rPr>
              <w:t>是</w:t>
            </w:r>
            <w:r w:rsidRPr="00DB7372">
              <w:rPr>
                <w:rFonts w:ascii="Times New Roman" w:eastAsia="標楷體" w:hAnsi="Times New Roman" w:cs="Times New Roman"/>
                <w:b/>
                <w:color w:val="FF0000"/>
                <w:sz w:val="28"/>
                <w:szCs w:val="28"/>
                <w:lang w:eastAsia="zh-CN"/>
              </w:rPr>
              <w:t>否在年底終止</w:t>
            </w:r>
            <w:r w:rsidR="003126E7">
              <w:rPr>
                <w:rFonts w:ascii="Times New Roman" w:eastAsia="標楷體" w:hAnsi="Times New Roman" w:cs="Times New Roman" w:hint="eastAsia"/>
                <w:b/>
                <w:color w:val="FF0000"/>
                <w:sz w:val="28"/>
                <w:szCs w:val="28"/>
                <w:lang w:eastAsia="zh-CN"/>
              </w:rPr>
              <w:t>？</w:t>
            </w:r>
            <w:r w:rsidR="00EC30ED" w:rsidRPr="00DB7372">
              <w:rPr>
                <w:rFonts w:ascii="Times New Roman" w:eastAsia="標楷體" w:hAnsi="Times New Roman" w:cs="Times New Roman"/>
                <w:b/>
                <w:color w:val="FF0000"/>
                <w:sz w:val="28"/>
                <w:szCs w:val="28"/>
                <w:lang w:eastAsia="zh-CN"/>
              </w:rPr>
              <w:t>國發會景氣指標</w:t>
            </w:r>
            <w:r w:rsidR="00ED514E" w:rsidRPr="00DB7372">
              <w:rPr>
                <w:rFonts w:ascii="Times New Roman" w:eastAsia="標楷體" w:hAnsi="Times New Roman" w:cs="Times New Roman"/>
                <w:b/>
                <w:color w:val="FF0000"/>
                <w:sz w:val="28"/>
                <w:szCs w:val="28"/>
                <w:lang w:eastAsia="zh-CN"/>
              </w:rPr>
              <w:t>亦有雷同趨勢出現</w:t>
            </w:r>
          </w:p>
          <w:p w14:paraId="04D08346" w14:textId="77777777" w:rsidR="003126E7" w:rsidRDefault="00C71C0F" w:rsidP="004D776C">
            <w:pPr>
              <w:adjustRightInd w:val="0"/>
              <w:ind w:firstLineChars="200" w:firstLine="560"/>
              <w:rPr>
                <w:rFonts w:ascii="Times New Roman" w:eastAsia="標楷體" w:hAnsi="Times New Roman" w:cs="Times New Roman"/>
                <w:sz w:val="28"/>
                <w:szCs w:val="28"/>
              </w:rPr>
            </w:pPr>
            <w:r w:rsidRPr="00DB7372">
              <w:rPr>
                <w:rFonts w:ascii="Times New Roman" w:eastAsia="標楷體" w:hAnsi="Times New Roman" w:cs="Times New Roman"/>
                <w:sz w:val="28"/>
                <w:szCs w:val="28"/>
              </w:rPr>
              <w:t>上</w:t>
            </w:r>
            <w:r w:rsidR="004E1973" w:rsidRPr="00DB7372">
              <w:rPr>
                <w:rFonts w:ascii="Times New Roman" w:eastAsia="標楷體" w:hAnsi="Times New Roman" w:cs="Times New Roman"/>
                <w:sz w:val="28"/>
                <w:szCs w:val="28"/>
              </w:rPr>
              <w:t>期的景氣循環分析曾比較</w:t>
            </w:r>
            <w:r w:rsidR="00FB2FFB" w:rsidRPr="00DB7372">
              <w:rPr>
                <w:rFonts w:ascii="Times New Roman" w:eastAsia="標楷體" w:hAnsi="Times New Roman" w:cs="Times New Roman"/>
                <w:sz w:val="28"/>
                <w:szCs w:val="28"/>
              </w:rPr>
              <w:t>之前各次的循環</w:t>
            </w:r>
            <w:r w:rsidR="00A9110B" w:rsidRPr="00DB7372">
              <w:rPr>
                <w:rFonts w:ascii="Times New Roman" w:eastAsia="標楷體" w:hAnsi="Times New Roman" w:cs="Times New Roman"/>
                <w:sz w:val="28"/>
                <w:szCs w:val="28"/>
              </w:rPr>
              <w:t>走勢與</w:t>
            </w:r>
            <w:r w:rsidR="009A4978" w:rsidRPr="00DB7372">
              <w:rPr>
                <w:rFonts w:ascii="Times New Roman" w:eastAsia="標楷體" w:hAnsi="Times New Roman" w:cs="Times New Roman"/>
                <w:sz w:val="28"/>
                <w:szCs w:val="28"/>
              </w:rPr>
              <w:t>振幅</w:t>
            </w:r>
            <w:r w:rsidR="00FB2FFB" w:rsidRPr="00DB7372">
              <w:rPr>
                <w:rFonts w:ascii="Times New Roman" w:eastAsia="標楷體" w:hAnsi="Times New Roman" w:cs="Times New Roman"/>
                <w:sz w:val="28"/>
                <w:szCs w:val="28"/>
              </w:rPr>
              <w:t>行為</w:t>
            </w:r>
            <w:r w:rsidR="00C91656" w:rsidRPr="00DB7372">
              <w:rPr>
                <w:rFonts w:ascii="Times New Roman" w:eastAsia="標楷體" w:hAnsi="Times New Roman" w:cs="Times New Roman"/>
                <w:sz w:val="28"/>
                <w:szCs w:val="28"/>
              </w:rPr>
              <w:t>而認定</w:t>
            </w:r>
            <w:r w:rsidR="000F7D42" w:rsidRPr="00DB7372">
              <w:rPr>
                <w:rFonts w:ascii="Times New Roman" w:eastAsia="標楷體" w:hAnsi="Times New Roman" w:cs="Times New Roman"/>
                <w:sz w:val="28"/>
                <w:szCs w:val="28"/>
              </w:rPr>
              <w:t>這是一次在金融海嘯之後，整體經濟結構體質未見真正恢復提升導致的「低度均衡」現象</w:t>
            </w:r>
            <w:r w:rsidR="0037181E" w:rsidRPr="00DB7372">
              <w:rPr>
                <w:rFonts w:ascii="Times New Roman" w:eastAsia="標楷體" w:hAnsi="Times New Roman" w:cs="Times New Roman"/>
                <w:sz w:val="28"/>
                <w:szCs w:val="28"/>
              </w:rPr>
              <w:t>，也是一般所謂的</w:t>
            </w:r>
            <w:r w:rsidR="000C081D" w:rsidRPr="00DB7372">
              <w:rPr>
                <w:rFonts w:ascii="Times New Roman" w:eastAsia="標楷體" w:hAnsi="Times New Roman" w:cs="Times New Roman"/>
                <w:sz w:val="28"/>
                <w:szCs w:val="28"/>
              </w:rPr>
              <w:t>新平庸</w:t>
            </w:r>
            <w:r w:rsidR="00A047B7" w:rsidRPr="00DB7372">
              <w:rPr>
                <w:rFonts w:ascii="Times New Roman" w:eastAsia="標楷體" w:hAnsi="Times New Roman" w:cs="Times New Roman"/>
                <w:sz w:val="28"/>
                <w:szCs w:val="28"/>
              </w:rPr>
              <w:t>（</w:t>
            </w:r>
            <w:r w:rsidR="002867CC" w:rsidRPr="00DB7372">
              <w:rPr>
                <w:rFonts w:ascii="Times New Roman" w:eastAsia="標楷體" w:hAnsi="Times New Roman" w:cs="Times New Roman"/>
                <w:sz w:val="28"/>
                <w:szCs w:val="28"/>
                <w:lang w:eastAsia="zh-CN"/>
              </w:rPr>
              <w:t>mediocre</w:t>
            </w:r>
            <w:r w:rsidR="002867CC" w:rsidRPr="00DB7372">
              <w:rPr>
                <w:rFonts w:ascii="Times New Roman" w:eastAsia="標楷體" w:hAnsi="Times New Roman" w:cs="Times New Roman"/>
                <w:sz w:val="28"/>
                <w:szCs w:val="28"/>
                <w:lang w:eastAsia="zh-CN"/>
              </w:rPr>
              <w:t>）</w:t>
            </w:r>
            <w:r w:rsidR="000C081D" w:rsidRPr="00DB7372">
              <w:rPr>
                <w:rFonts w:ascii="Times New Roman" w:eastAsia="標楷體" w:hAnsi="Times New Roman" w:cs="Times New Roman"/>
                <w:sz w:val="28"/>
                <w:szCs w:val="28"/>
              </w:rPr>
              <w:t>經濟</w:t>
            </w:r>
            <w:r w:rsidR="00333D9A" w:rsidRPr="00DB7372">
              <w:rPr>
                <w:rFonts w:ascii="Times New Roman" w:eastAsia="標楷體" w:hAnsi="Times New Roman" w:cs="Times New Roman"/>
                <w:sz w:val="28"/>
                <w:szCs w:val="28"/>
              </w:rPr>
              <w:t>使然</w:t>
            </w:r>
            <w:r w:rsidR="000F7D42" w:rsidRPr="00DB7372">
              <w:rPr>
                <w:rFonts w:ascii="Times New Roman" w:eastAsia="標楷體" w:hAnsi="Times New Roman" w:cs="Times New Roman"/>
                <w:sz w:val="28"/>
                <w:szCs w:val="28"/>
              </w:rPr>
              <w:t>。</w:t>
            </w:r>
            <w:r w:rsidR="00882F2D" w:rsidRPr="00DB7372">
              <w:rPr>
                <w:rFonts w:ascii="Times New Roman" w:eastAsia="標楷體" w:hAnsi="Times New Roman" w:cs="Times New Roman"/>
                <w:sz w:val="28"/>
                <w:szCs w:val="28"/>
              </w:rPr>
              <w:t>筆者再以國發會</w:t>
            </w:r>
            <w:r w:rsidR="00B804D9" w:rsidRPr="00DB7372">
              <w:rPr>
                <w:rFonts w:ascii="Times New Roman" w:eastAsia="標楷體" w:hAnsi="Times New Roman" w:cs="Times New Roman"/>
                <w:sz w:val="28"/>
                <w:szCs w:val="28"/>
              </w:rPr>
              <w:t>所編製發表的</w:t>
            </w:r>
            <w:r w:rsidR="00E46ACA" w:rsidRPr="00DB7372">
              <w:rPr>
                <w:rFonts w:ascii="Times New Roman" w:eastAsia="標楷體" w:hAnsi="Times New Roman" w:cs="Times New Roman"/>
                <w:sz w:val="28"/>
                <w:szCs w:val="28"/>
              </w:rPr>
              <w:t>景氣指標做一分析比較</w:t>
            </w:r>
            <w:r w:rsidR="000F7D42" w:rsidRPr="00DB7372">
              <w:rPr>
                <w:rFonts w:ascii="Times New Roman" w:eastAsia="標楷體" w:hAnsi="Times New Roman" w:cs="Times New Roman"/>
                <w:sz w:val="28"/>
                <w:szCs w:val="28"/>
              </w:rPr>
              <w:t>。</w:t>
            </w:r>
          </w:p>
          <w:p w14:paraId="14F7CC64" w14:textId="0E20AEA8" w:rsidR="003126E7" w:rsidRPr="003126E7" w:rsidRDefault="002957D9" w:rsidP="003126E7">
            <w:pPr>
              <w:pStyle w:val="a3"/>
              <w:numPr>
                <w:ilvl w:val="0"/>
                <w:numId w:val="12"/>
              </w:numPr>
              <w:adjustRightInd w:val="0"/>
              <w:ind w:leftChars="0"/>
              <w:rPr>
                <w:rFonts w:ascii="Times New Roman" w:eastAsia="標楷體" w:hAnsi="Times New Roman"/>
                <w:sz w:val="28"/>
                <w:szCs w:val="28"/>
              </w:rPr>
            </w:pPr>
            <w:r w:rsidRPr="003126E7">
              <w:rPr>
                <w:rFonts w:ascii="Times New Roman" w:eastAsia="標楷體" w:hAnsi="Times New Roman"/>
                <w:sz w:val="28"/>
                <w:szCs w:val="28"/>
              </w:rPr>
              <w:t>比較國發會與商研院領先指標</w:t>
            </w:r>
            <w:r w:rsidR="00B90F85" w:rsidRPr="003126E7">
              <w:rPr>
                <w:rFonts w:ascii="Times New Roman" w:eastAsia="標楷體" w:hAnsi="Times New Roman"/>
                <w:sz w:val="28"/>
                <w:szCs w:val="28"/>
              </w:rPr>
              <w:t>（如下圖）發現</w:t>
            </w:r>
            <w:r w:rsidR="00FF4C5B" w:rsidRPr="003126E7">
              <w:rPr>
                <w:rFonts w:ascii="Times New Roman" w:eastAsia="標楷體" w:hAnsi="Times New Roman"/>
                <w:sz w:val="28"/>
                <w:szCs w:val="28"/>
              </w:rPr>
              <w:t>國發會在預告</w:t>
            </w:r>
            <w:r w:rsidR="00CE353B" w:rsidRPr="003126E7">
              <w:rPr>
                <w:rFonts w:ascii="Times New Roman" w:eastAsia="標楷體" w:hAnsi="Times New Roman" w:hint="eastAsia"/>
                <w:sz w:val="28"/>
                <w:szCs w:val="28"/>
                <w:lang w:eastAsia="zh-CN"/>
              </w:rPr>
              <w:t>復甦</w:t>
            </w:r>
            <w:r w:rsidR="00602B1B" w:rsidRPr="003126E7">
              <w:rPr>
                <w:rFonts w:ascii="Times New Roman" w:eastAsia="標楷體" w:hAnsi="Times New Roman"/>
                <w:sz w:val="28"/>
                <w:szCs w:val="28"/>
              </w:rPr>
              <w:t>比商研院來</w:t>
            </w:r>
            <w:r w:rsidR="00602B1B" w:rsidRPr="003126E7">
              <w:rPr>
                <w:rFonts w:ascii="Times New Roman" w:eastAsia="標楷體" w:hAnsi="Times New Roman"/>
                <w:sz w:val="28"/>
                <w:szCs w:val="28"/>
              </w:rPr>
              <w:lastRenderedPageBreak/>
              <w:t>得</w:t>
            </w:r>
            <w:r w:rsidR="0030477A" w:rsidRPr="003126E7">
              <w:rPr>
                <w:rFonts w:ascii="Times New Roman" w:eastAsia="標楷體" w:hAnsi="Times New Roman"/>
                <w:sz w:val="28"/>
                <w:szCs w:val="28"/>
              </w:rPr>
              <w:t>短</w:t>
            </w:r>
            <w:r w:rsidR="00946FF6" w:rsidRPr="003126E7">
              <w:rPr>
                <w:rFonts w:ascii="Times New Roman" w:eastAsia="標楷體" w:hAnsi="Times New Roman"/>
                <w:sz w:val="28"/>
                <w:szCs w:val="28"/>
              </w:rPr>
              <w:t>且一致，但相反</w:t>
            </w:r>
            <w:r w:rsidR="00746120" w:rsidRPr="003126E7">
              <w:rPr>
                <w:rFonts w:ascii="Times New Roman" w:eastAsia="標楷體" w:hAnsi="Times New Roman"/>
                <w:sz w:val="28"/>
                <w:szCs w:val="28"/>
              </w:rPr>
              <w:t>地，國發會在預告衰退</w:t>
            </w:r>
            <w:r w:rsidR="00EB6BBB" w:rsidRPr="003126E7">
              <w:rPr>
                <w:rFonts w:ascii="Times New Roman" w:eastAsia="標楷體" w:hAnsi="Times New Roman"/>
                <w:sz w:val="28"/>
                <w:szCs w:val="28"/>
              </w:rPr>
              <w:t>則比商研院來得</w:t>
            </w:r>
            <w:r w:rsidR="00340FE0" w:rsidRPr="003126E7">
              <w:rPr>
                <w:rFonts w:ascii="Times New Roman" w:eastAsia="標楷體" w:hAnsi="Times New Roman"/>
                <w:sz w:val="28"/>
                <w:szCs w:val="28"/>
              </w:rPr>
              <w:t>長且不一致。最好</w:t>
            </w:r>
            <w:r w:rsidR="00F27DC7" w:rsidRPr="003126E7">
              <w:rPr>
                <w:rFonts w:ascii="Times New Roman" w:eastAsia="標楷體" w:hAnsi="Times New Roman"/>
                <w:sz w:val="28"/>
                <w:szCs w:val="28"/>
              </w:rPr>
              <w:t>的領先指標性質是領先時間要</w:t>
            </w:r>
            <w:r w:rsidR="00204CBF" w:rsidRPr="003126E7">
              <w:rPr>
                <w:rFonts w:ascii="Times New Roman" w:eastAsia="標楷體" w:hAnsi="Times New Roman"/>
                <w:sz w:val="28"/>
                <w:szCs w:val="28"/>
              </w:rPr>
              <w:t>夠長以適時</w:t>
            </w:r>
            <w:r w:rsidR="00441CC7" w:rsidRPr="003126E7">
              <w:rPr>
                <w:rFonts w:ascii="Times New Roman" w:eastAsia="標楷體" w:hAnsi="Times New Roman"/>
                <w:sz w:val="28"/>
                <w:szCs w:val="28"/>
              </w:rPr>
              <w:t>提</w:t>
            </w:r>
            <w:r w:rsidR="00BF658E" w:rsidRPr="003126E7">
              <w:rPr>
                <w:rFonts w:ascii="Times New Roman" w:eastAsia="標楷體" w:hAnsi="Times New Roman"/>
                <w:sz w:val="28"/>
                <w:szCs w:val="28"/>
              </w:rPr>
              <w:t>供政府</w:t>
            </w:r>
            <w:r w:rsidR="00441CC7" w:rsidRPr="003126E7">
              <w:rPr>
                <w:rFonts w:ascii="Times New Roman" w:eastAsia="標楷體" w:hAnsi="Times New Roman"/>
                <w:sz w:val="28"/>
                <w:szCs w:val="28"/>
              </w:rPr>
              <w:t>政策</w:t>
            </w:r>
            <w:r w:rsidR="00BF658E" w:rsidRPr="003126E7">
              <w:rPr>
                <w:rFonts w:ascii="Times New Roman" w:eastAsia="標楷體" w:hAnsi="Times New Roman"/>
                <w:sz w:val="28"/>
                <w:szCs w:val="28"/>
              </w:rPr>
              <w:t>及民間企業</w:t>
            </w:r>
            <w:r w:rsidR="00441CC7" w:rsidRPr="003126E7">
              <w:rPr>
                <w:rFonts w:ascii="Times New Roman" w:eastAsia="標楷體" w:hAnsi="Times New Roman"/>
                <w:sz w:val="28"/>
                <w:szCs w:val="28"/>
              </w:rPr>
              <w:t>因應的</w:t>
            </w:r>
            <w:r w:rsidR="00296C1E" w:rsidRPr="003126E7">
              <w:rPr>
                <w:rFonts w:ascii="Times New Roman" w:eastAsia="標楷體" w:hAnsi="Times New Roman"/>
                <w:sz w:val="28"/>
                <w:szCs w:val="28"/>
              </w:rPr>
              <w:t>參考，但不宜過長而</w:t>
            </w:r>
            <w:r w:rsidR="00E54B2D" w:rsidRPr="003126E7">
              <w:rPr>
                <w:rFonts w:ascii="Times New Roman" w:eastAsia="標楷體" w:hAnsi="Times New Roman"/>
                <w:sz w:val="28"/>
                <w:szCs w:val="28"/>
              </w:rPr>
              <w:t>不當影響樂觀</w:t>
            </w:r>
            <w:r w:rsidR="0034047C" w:rsidRPr="003126E7">
              <w:rPr>
                <w:rFonts w:ascii="Times New Roman" w:eastAsia="標楷體" w:hAnsi="Times New Roman"/>
                <w:sz w:val="28"/>
                <w:szCs w:val="28"/>
              </w:rPr>
              <w:t>或</w:t>
            </w:r>
            <w:r w:rsidR="00E54B2D" w:rsidRPr="003126E7">
              <w:rPr>
                <w:rFonts w:ascii="Times New Roman" w:eastAsia="標楷體" w:hAnsi="Times New Roman"/>
                <w:sz w:val="28"/>
                <w:szCs w:val="28"/>
              </w:rPr>
              <w:t>悲觀的</w:t>
            </w:r>
            <w:r w:rsidR="0034047C" w:rsidRPr="003126E7">
              <w:rPr>
                <w:rFonts w:ascii="Times New Roman" w:eastAsia="標楷體" w:hAnsi="Times New Roman"/>
                <w:sz w:val="28"/>
                <w:szCs w:val="28"/>
              </w:rPr>
              <w:t>判斷，干擾</w:t>
            </w:r>
            <w:r w:rsidR="00B6619F" w:rsidRPr="003126E7">
              <w:rPr>
                <w:rFonts w:ascii="Times New Roman" w:eastAsia="標楷體" w:hAnsi="Times New Roman"/>
                <w:sz w:val="28"/>
                <w:szCs w:val="28"/>
              </w:rPr>
              <w:t>正確的經濟</w:t>
            </w:r>
            <w:r w:rsidR="00973743" w:rsidRPr="003126E7">
              <w:rPr>
                <w:rFonts w:ascii="Times New Roman" w:eastAsia="標楷體" w:hAnsi="Times New Roman"/>
                <w:sz w:val="28"/>
                <w:szCs w:val="28"/>
              </w:rPr>
              <w:t>與市場</w:t>
            </w:r>
            <w:r w:rsidR="00B6619F" w:rsidRPr="003126E7">
              <w:rPr>
                <w:rFonts w:ascii="Times New Roman" w:eastAsia="標楷體" w:hAnsi="Times New Roman"/>
                <w:sz w:val="28"/>
                <w:szCs w:val="28"/>
              </w:rPr>
              <w:t>行為</w:t>
            </w:r>
            <w:r w:rsidR="003126E7" w:rsidRPr="003126E7">
              <w:rPr>
                <w:rFonts w:ascii="Times New Roman" w:eastAsia="標楷體" w:hAnsi="Times New Roman" w:hint="eastAsia"/>
                <w:sz w:val="28"/>
                <w:szCs w:val="28"/>
                <w:lang w:eastAsia="zh-CN"/>
              </w:rPr>
              <w:t>；</w:t>
            </w:r>
            <w:r w:rsidR="00D20AC0" w:rsidRPr="003126E7">
              <w:rPr>
                <w:rFonts w:ascii="Times New Roman" w:eastAsia="標楷體" w:hAnsi="Times New Roman"/>
                <w:sz w:val="28"/>
                <w:szCs w:val="28"/>
              </w:rPr>
              <w:t>太短則令人措</w:t>
            </w:r>
            <w:r w:rsidR="00F73E4C" w:rsidRPr="003126E7">
              <w:rPr>
                <w:rFonts w:ascii="Times New Roman" w:eastAsia="標楷體" w:hAnsi="Times New Roman"/>
                <w:sz w:val="28"/>
                <w:szCs w:val="28"/>
              </w:rPr>
              <w:t>手不及。更重要的是一</w:t>
            </w:r>
            <w:r w:rsidR="00593FB7" w:rsidRPr="003126E7">
              <w:rPr>
                <w:rFonts w:ascii="Times New Roman" w:eastAsia="標楷體" w:hAnsi="Times New Roman"/>
                <w:sz w:val="28"/>
                <w:szCs w:val="28"/>
              </w:rPr>
              <w:t>致性。若各次循環的預告</w:t>
            </w:r>
            <w:r w:rsidR="00AD1DC9" w:rsidRPr="003126E7">
              <w:rPr>
                <w:rFonts w:ascii="Times New Roman" w:eastAsia="標楷體" w:hAnsi="Times New Roman"/>
                <w:sz w:val="28"/>
                <w:szCs w:val="28"/>
              </w:rPr>
              <w:t>時效長短不一，</w:t>
            </w:r>
            <w:r w:rsidR="00110ED9" w:rsidRPr="003126E7">
              <w:rPr>
                <w:rFonts w:ascii="Times New Roman" w:eastAsia="標楷體" w:hAnsi="Times New Roman"/>
                <w:sz w:val="28"/>
                <w:szCs w:val="28"/>
              </w:rPr>
              <w:t>更</w:t>
            </w:r>
            <w:r w:rsidR="00903398" w:rsidRPr="003126E7">
              <w:rPr>
                <w:rFonts w:ascii="Times New Roman" w:eastAsia="標楷體" w:hAnsi="Times New Roman"/>
                <w:sz w:val="28"/>
                <w:szCs w:val="28"/>
              </w:rPr>
              <w:t>易引人捉摸不定之</w:t>
            </w:r>
            <w:r w:rsidR="00712467" w:rsidRPr="003126E7">
              <w:rPr>
                <w:rFonts w:ascii="Times New Roman" w:eastAsia="標楷體" w:hAnsi="Times New Roman"/>
                <w:sz w:val="28"/>
                <w:szCs w:val="28"/>
              </w:rPr>
              <w:t>感。</w:t>
            </w:r>
          </w:p>
          <w:p w14:paraId="24960828" w14:textId="0A51E740" w:rsidR="00F26A31" w:rsidRDefault="00F26A31" w:rsidP="00F26A31">
            <w:pPr>
              <w:adjustRightInd w:val="0"/>
              <w:ind w:left="952"/>
              <w:rPr>
                <w:rFonts w:ascii="Times New Roman" w:eastAsia="標楷體" w:hAnsi="Times New Roman"/>
                <w:sz w:val="28"/>
                <w:szCs w:val="28"/>
              </w:rPr>
            </w:pPr>
            <w:r>
              <w:rPr>
                <w:rFonts w:ascii="Times New Roman" w:eastAsia="標楷體" w:hAnsi="Times New Roman" w:hint="eastAsia"/>
                <w:sz w:val="28"/>
                <w:szCs w:val="28"/>
              </w:rPr>
              <w:t xml:space="preserve">    </w:t>
            </w:r>
            <w:r w:rsidR="00B94866" w:rsidRPr="00F26A31">
              <w:rPr>
                <w:rFonts w:ascii="Times New Roman" w:eastAsia="標楷體" w:hAnsi="Times New Roman"/>
                <w:sz w:val="28"/>
                <w:szCs w:val="28"/>
              </w:rPr>
              <w:t>這裡</w:t>
            </w:r>
            <w:r w:rsidR="00CF7E98" w:rsidRPr="00F26A31">
              <w:rPr>
                <w:rFonts w:ascii="Times New Roman" w:eastAsia="標楷體" w:hAnsi="Times New Roman"/>
                <w:sz w:val="28"/>
                <w:szCs w:val="28"/>
              </w:rPr>
              <w:t>請瞭解的是，國發會</w:t>
            </w:r>
            <w:r w:rsidR="00B0528B" w:rsidRPr="00F26A31">
              <w:rPr>
                <w:rFonts w:ascii="Times New Roman" w:eastAsia="標楷體" w:hAnsi="Times New Roman"/>
                <w:sz w:val="28"/>
                <w:szCs w:val="28"/>
              </w:rPr>
              <w:t>指標系統是針對全體經濟的，</w:t>
            </w:r>
            <w:r w:rsidR="00FB3723" w:rsidRPr="00F26A31">
              <w:rPr>
                <w:rFonts w:ascii="Times New Roman" w:eastAsia="標楷體" w:hAnsi="Times New Roman"/>
                <w:sz w:val="28"/>
                <w:szCs w:val="28"/>
              </w:rPr>
              <w:t>而</w:t>
            </w:r>
            <w:r w:rsidR="00E35965" w:rsidRPr="00F26A31">
              <w:rPr>
                <w:rFonts w:ascii="Times New Roman" w:eastAsia="標楷體" w:hAnsi="Times New Roman" w:hint="eastAsia"/>
                <w:sz w:val="28"/>
                <w:szCs w:val="28"/>
              </w:rPr>
              <w:t>本</w:t>
            </w:r>
            <w:r w:rsidR="00FB3723" w:rsidRPr="00F26A31">
              <w:rPr>
                <w:rFonts w:ascii="Times New Roman" w:eastAsia="標楷體" w:hAnsi="Times New Roman"/>
                <w:sz w:val="28"/>
                <w:szCs w:val="28"/>
              </w:rPr>
              <w:t>指標</w:t>
            </w:r>
            <w:r w:rsidR="0031474B" w:rsidRPr="00F26A31">
              <w:rPr>
                <w:rFonts w:ascii="Times New Roman" w:eastAsia="標楷體" w:hAnsi="Times New Roman"/>
                <w:sz w:val="28"/>
                <w:szCs w:val="28"/>
              </w:rPr>
              <w:t>系統只針對商業服務業。</w:t>
            </w:r>
            <w:r w:rsidR="002422CD" w:rsidRPr="00F26A31">
              <w:rPr>
                <w:rFonts w:ascii="Times New Roman" w:eastAsia="標楷體" w:hAnsi="Times New Roman"/>
                <w:sz w:val="28"/>
                <w:szCs w:val="28"/>
              </w:rPr>
              <w:t>比較之下也發現</w:t>
            </w:r>
            <w:r w:rsidR="00A562EF" w:rsidRPr="00F26A31">
              <w:rPr>
                <w:rFonts w:ascii="Times New Roman" w:eastAsia="標楷體" w:hAnsi="Times New Roman"/>
                <w:sz w:val="28"/>
                <w:szCs w:val="28"/>
              </w:rPr>
              <w:t>台灣商業服務業景氣循環是</w:t>
            </w:r>
            <w:r w:rsidR="005A25CE" w:rsidRPr="00F26A31">
              <w:rPr>
                <w:rFonts w:ascii="Times New Roman" w:eastAsia="標楷體" w:hAnsi="Times New Roman"/>
                <w:sz w:val="28"/>
                <w:szCs w:val="28"/>
              </w:rPr>
              <w:t>落後</w:t>
            </w:r>
            <w:r w:rsidR="007B6629" w:rsidRPr="00F26A31">
              <w:rPr>
                <w:rFonts w:ascii="Times New Roman" w:eastAsia="標楷體" w:hAnsi="Times New Roman"/>
                <w:sz w:val="28"/>
                <w:szCs w:val="28"/>
              </w:rPr>
              <w:t>於（跟隨在）</w:t>
            </w:r>
            <w:r w:rsidR="005A25CE" w:rsidRPr="00F26A31">
              <w:rPr>
                <w:rFonts w:ascii="Times New Roman" w:eastAsia="標楷體" w:hAnsi="Times New Roman"/>
                <w:sz w:val="28"/>
                <w:szCs w:val="28"/>
              </w:rPr>
              <w:t>整體景氣循環</w:t>
            </w:r>
            <w:r w:rsidR="00584B2C" w:rsidRPr="00F26A31">
              <w:rPr>
                <w:rFonts w:ascii="Times New Roman" w:eastAsia="標楷體" w:hAnsi="Times New Roman"/>
                <w:sz w:val="28"/>
                <w:szCs w:val="28"/>
              </w:rPr>
              <w:t>之後</w:t>
            </w:r>
            <w:r w:rsidR="0035116C" w:rsidRPr="00F26A31">
              <w:rPr>
                <w:rFonts w:ascii="Times New Roman" w:eastAsia="標楷體" w:hAnsi="Times New Roman"/>
                <w:sz w:val="28"/>
                <w:szCs w:val="28"/>
              </w:rPr>
              <w:t>而</w:t>
            </w:r>
            <w:r w:rsidR="006A0C09" w:rsidRPr="00F26A31">
              <w:rPr>
                <w:rFonts w:ascii="Times New Roman" w:eastAsia="標楷體" w:hAnsi="Times New Roman"/>
                <w:sz w:val="28"/>
                <w:szCs w:val="28"/>
              </w:rPr>
              <w:t>發生</w:t>
            </w:r>
            <w:r w:rsidR="00836B22" w:rsidRPr="00F26A31">
              <w:rPr>
                <w:rFonts w:ascii="Times New Roman" w:eastAsia="標楷體" w:hAnsi="Times New Roman"/>
                <w:sz w:val="28"/>
                <w:szCs w:val="28"/>
              </w:rPr>
              <w:t>的</w:t>
            </w:r>
            <w:r w:rsidR="006A0C09" w:rsidRPr="00F26A31">
              <w:rPr>
                <w:rFonts w:ascii="Times New Roman" w:eastAsia="標楷體" w:hAnsi="Times New Roman"/>
                <w:sz w:val="28"/>
                <w:szCs w:val="28"/>
              </w:rPr>
              <w:t>。</w:t>
            </w:r>
          </w:p>
          <w:p w14:paraId="2B9CB944" w14:textId="44C44669" w:rsidR="003126E7" w:rsidRPr="00F26A31" w:rsidRDefault="00F26A31" w:rsidP="003E10D3">
            <w:pPr>
              <w:adjustRightInd w:val="0"/>
              <w:rPr>
                <w:rFonts w:ascii="Times New Roman" w:eastAsia="標楷體" w:hAnsi="Times New Roman"/>
                <w:sz w:val="28"/>
                <w:szCs w:val="28"/>
              </w:rPr>
            </w:pPr>
            <w:r w:rsidRPr="005621CB">
              <w:rPr>
                <w:noProof/>
              </w:rPr>
              <w:drawing>
                <wp:inline distT="0" distB="0" distL="0" distR="0" wp14:anchorId="2F42412B" wp14:editId="1BCAD9DA">
                  <wp:extent cx="6512943" cy="4001391"/>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96" r="5048"/>
                          <a:stretch/>
                        </pic:blipFill>
                        <pic:spPr bwMode="auto">
                          <a:xfrm>
                            <a:off x="0" y="0"/>
                            <a:ext cx="6529755" cy="4011720"/>
                          </a:xfrm>
                          <a:prstGeom prst="rect">
                            <a:avLst/>
                          </a:prstGeom>
                          <a:ln>
                            <a:noFill/>
                          </a:ln>
                          <a:extLst>
                            <a:ext uri="{53640926-AAD7-44D8-BBD7-CCE9431645EC}">
                              <a14:shadowObscured xmlns:a14="http://schemas.microsoft.com/office/drawing/2010/main"/>
                            </a:ext>
                          </a:extLst>
                        </pic:spPr>
                      </pic:pic>
                    </a:graphicData>
                  </a:graphic>
                </wp:inline>
              </w:drawing>
            </w:r>
          </w:p>
          <w:p w14:paraId="6E7E312D" w14:textId="592B5476" w:rsidR="003126E7" w:rsidRPr="003E10D3" w:rsidRDefault="002D742E" w:rsidP="000317C6">
            <w:pPr>
              <w:pStyle w:val="a3"/>
              <w:numPr>
                <w:ilvl w:val="0"/>
                <w:numId w:val="12"/>
              </w:numPr>
              <w:adjustRightInd w:val="0"/>
              <w:ind w:leftChars="0"/>
              <w:rPr>
                <w:rFonts w:ascii="Times New Roman" w:eastAsia="SimSun" w:hAnsi="Times New Roman"/>
                <w:sz w:val="28"/>
                <w:szCs w:val="28"/>
                <w:lang w:eastAsia="zh-CN"/>
              </w:rPr>
            </w:pPr>
            <w:r w:rsidRPr="003E10D3">
              <w:rPr>
                <w:rFonts w:ascii="Times New Roman" w:eastAsia="標楷體" w:hAnsi="Times New Roman"/>
                <w:sz w:val="28"/>
                <w:szCs w:val="28"/>
                <w:lang w:eastAsia="zh-CN"/>
              </w:rPr>
              <w:t>從</w:t>
            </w:r>
            <w:r w:rsidR="00731366" w:rsidRPr="003E10D3">
              <w:rPr>
                <w:rFonts w:ascii="Times New Roman" w:eastAsia="標楷體" w:hAnsi="Times New Roman"/>
                <w:sz w:val="28"/>
                <w:szCs w:val="28"/>
                <w:lang w:eastAsia="zh-CN"/>
              </w:rPr>
              <w:t>國發會的領先指標循環</w:t>
            </w:r>
            <w:r w:rsidR="00D92048" w:rsidRPr="003E10D3">
              <w:rPr>
                <w:rFonts w:ascii="Times New Roman" w:eastAsia="標楷體" w:hAnsi="Times New Roman"/>
                <w:sz w:val="28"/>
                <w:szCs w:val="28"/>
                <w:lang w:eastAsia="zh-CN"/>
              </w:rPr>
              <w:t>指數在各次</w:t>
            </w:r>
            <w:r w:rsidR="00576D05" w:rsidRPr="003E10D3">
              <w:rPr>
                <w:rFonts w:ascii="Times New Roman" w:eastAsia="標楷體" w:hAnsi="Times New Roman"/>
                <w:sz w:val="28"/>
                <w:szCs w:val="28"/>
                <w:lang w:eastAsia="zh-CN"/>
              </w:rPr>
              <w:t>波長</w:t>
            </w:r>
            <w:r w:rsidR="00D92048" w:rsidRPr="003E10D3">
              <w:rPr>
                <w:rFonts w:ascii="Times New Roman" w:eastAsia="標楷體" w:hAnsi="Times New Roman"/>
                <w:sz w:val="28"/>
                <w:szCs w:val="28"/>
                <w:lang w:eastAsia="zh-CN"/>
              </w:rPr>
              <w:t>的領先時間差</w:t>
            </w:r>
            <w:r w:rsidR="00576D05" w:rsidRPr="003E10D3">
              <w:rPr>
                <w:rFonts w:ascii="Times New Roman" w:eastAsia="標楷體" w:hAnsi="Times New Roman"/>
                <w:sz w:val="28"/>
                <w:szCs w:val="28"/>
                <w:lang w:eastAsia="zh-CN"/>
              </w:rPr>
              <w:t>觀察，</w:t>
            </w:r>
            <w:r w:rsidR="00637A8E" w:rsidRPr="003E10D3">
              <w:rPr>
                <w:rFonts w:ascii="Times New Roman" w:eastAsia="標楷體" w:hAnsi="Times New Roman"/>
                <w:sz w:val="28"/>
                <w:szCs w:val="28"/>
                <w:lang w:eastAsia="zh-CN"/>
              </w:rPr>
              <w:t>領先指標循環指數</w:t>
            </w:r>
            <w:r w:rsidR="005407CA" w:rsidRPr="003E10D3">
              <w:rPr>
                <w:rFonts w:ascii="Times New Roman" w:eastAsia="標楷體" w:hAnsi="Times New Roman"/>
                <w:sz w:val="28"/>
                <w:szCs w:val="28"/>
                <w:lang w:eastAsia="zh-CN"/>
              </w:rPr>
              <w:t>在去年</w:t>
            </w:r>
            <w:r w:rsidR="005407CA" w:rsidRPr="003E10D3">
              <w:rPr>
                <w:rFonts w:ascii="Times New Roman" w:eastAsia="標楷體" w:hAnsi="Times New Roman"/>
                <w:sz w:val="28"/>
                <w:szCs w:val="28"/>
                <w:lang w:eastAsia="zh-CN"/>
              </w:rPr>
              <w:t>11</w:t>
            </w:r>
            <w:r w:rsidR="005407CA" w:rsidRPr="003E10D3">
              <w:rPr>
                <w:rFonts w:ascii="Times New Roman" w:eastAsia="標楷體" w:hAnsi="Times New Roman"/>
                <w:sz w:val="28"/>
                <w:szCs w:val="28"/>
                <w:lang w:eastAsia="zh-CN"/>
              </w:rPr>
              <w:t>月碰頂，迄今年</w:t>
            </w:r>
            <w:r w:rsidR="005407CA" w:rsidRPr="003E10D3">
              <w:rPr>
                <w:rFonts w:ascii="Times New Roman" w:eastAsia="標楷體" w:hAnsi="Times New Roman"/>
                <w:sz w:val="28"/>
                <w:szCs w:val="28"/>
                <w:lang w:eastAsia="zh-CN"/>
              </w:rPr>
              <w:t>5</w:t>
            </w:r>
            <w:r w:rsidR="00FD77E2" w:rsidRPr="003E10D3">
              <w:rPr>
                <w:rFonts w:ascii="Times New Roman" w:eastAsia="標楷體" w:hAnsi="Times New Roman"/>
                <w:sz w:val="28"/>
                <w:szCs w:val="28"/>
                <w:lang w:eastAsia="zh-CN"/>
              </w:rPr>
              <w:t>月已連續下降半年</w:t>
            </w:r>
            <w:r w:rsidR="007D223B" w:rsidRPr="003E10D3">
              <w:rPr>
                <w:rFonts w:ascii="Times New Roman" w:eastAsia="標楷體" w:hAnsi="Times New Roman"/>
                <w:sz w:val="28"/>
                <w:szCs w:val="28"/>
                <w:lang w:eastAsia="zh-CN"/>
              </w:rPr>
              <w:t>。</w:t>
            </w:r>
            <w:r w:rsidR="001E6D37" w:rsidRPr="003E10D3">
              <w:rPr>
                <w:rFonts w:ascii="Times New Roman" w:eastAsia="標楷體" w:hAnsi="Times New Roman"/>
                <w:sz w:val="28"/>
                <w:szCs w:val="28"/>
                <w:lang w:eastAsia="zh-CN"/>
              </w:rPr>
              <w:t>依其歷史記錄</w:t>
            </w:r>
            <w:r w:rsidR="0039177F" w:rsidRPr="003E10D3">
              <w:rPr>
                <w:rFonts w:ascii="Times New Roman" w:eastAsia="標楷體" w:hAnsi="Times New Roman"/>
                <w:sz w:val="28"/>
                <w:szCs w:val="28"/>
                <w:lang w:eastAsia="zh-CN"/>
              </w:rPr>
              <w:t>，自</w:t>
            </w:r>
            <w:r w:rsidR="0039177F" w:rsidRPr="003E10D3">
              <w:rPr>
                <w:rFonts w:ascii="Times New Roman" w:eastAsia="標楷體" w:hAnsi="Times New Roman"/>
                <w:sz w:val="28"/>
                <w:szCs w:val="28"/>
                <w:lang w:eastAsia="zh-CN"/>
              </w:rPr>
              <w:t>1984</w:t>
            </w:r>
            <w:r w:rsidR="0039177F" w:rsidRPr="003E10D3">
              <w:rPr>
                <w:rFonts w:ascii="Times New Roman" w:eastAsia="標楷體" w:hAnsi="Times New Roman"/>
                <w:sz w:val="28"/>
                <w:szCs w:val="28"/>
                <w:lang w:eastAsia="zh-CN"/>
              </w:rPr>
              <w:lastRenderedPageBreak/>
              <w:t>年以來</w:t>
            </w:r>
            <w:r w:rsidR="000454F5" w:rsidRPr="003E10D3">
              <w:rPr>
                <w:rFonts w:ascii="Times New Roman" w:eastAsia="標楷體" w:hAnsi="Times New Roman"/>
                <w:sz w:val="28"/>
                <w:szCs w:val="28"/>
                <w:lang w:eastAsia="zh-CN"/>
              </w:rPr>
              <w:t>的歷次循環觀之</w:t>
            </w:r>
            <w:r w:rsidR="00BF2FB3" w:rsidRPr="003E10D3">
              <w:rPr>
                <w:rFonts w:ascii="Times New Roman" w:eastAsia="標楷體" w:hAnsi="Times New Roman"/>
                <w:sz w:val="28"/>
                <w:szCs w:val="28"/>
                <w:lang w:eastAsia="zh-CN"/>
              </w:rPr>
              <w:t>，領先</w:t>
            </w:r>
            <w:r w:rsidR="00DD6532" w:rsidRPr="003E10D3">
              <w:rPr>
                <w:rFonts w:ascii="Times New Roman" w:eastAsia="標楷體" w:hAnsi="Times New Roman"/>
                <w:sz w:val="28"/>
                <w:szCs w:val="28"/>
                <w:lang w:eastAsia="zh-CN"/>
              </w:rPr>
              <w:t>實際衰退的發生最長是</w:t>
            </w:r>
            <w:r w:rsidR="00F81C14" w:rsidRPr="003E10D3">
              <w:rPr>
                <w:rFonts w:ascii="Times New Roman" w:eastAsia="標楷體" w:hAnsi="Times New Roman"/>
                <w:sz w:val="28"/>
                <w:szCs w:val="28"/>
                <w:lang w:eastAsia="zh-CN"/>
              </w:rPr>
              <w:t>11</w:t>
            </w:r>
            <w:r w:rsidR="00F81C14" w:rsidRPr="003E10D3">
              <w:rPr>
                <w:rFonts w:ascii="Times New Roman" w:eastAsia="標楷體" w:hAnsi="Times New Roman"/>
                <w:sz w:val="28"/>
                <w:szCs w:val="28"/>
                <w:lang w:eastAsia="zh-CN"/>
              </w:rPr>
              <w:t>個月，有</w:t>
            </w:r>
            <w:r w:rsidR="00F81C14" w:rsidRPr="003E10D3">
              <w:rPr>
                <w:rFonts w:ascii="Times New Roman" w:eastAsia="標楷體" w:hAnsi="Times New Roman"/>
                <w:sz w:val="28"/>
                <w:szCs w:val="28"/>
                <w:lang w:eastAsia="zh-CN"/>
              </w:rPr>
              <w:t>9</w:t>
            </w:r>
            <w:r w:rsidR="00954086" w:rsidRPr="003E10D3">
              <w:rPr>
                <w:rFonts w:ascii="Times New Roman" w:eastAsia="標楷體" w:hAnsi="Times New Roman"/>
                <w:sz w:val="28"/>
                <w:szCs w:val="28"/>
                <w:lang w:eastAsia="zh-CN"/>
              </w:rPr>
              <w:t>,6,5,4,3,2,1</w:t>
            </w:r>
            <w:r w:rsidR="0062110E" w:rsidRPr="003E10D3">
              <w:rPr>
                <w:rFonts w:ascii="Times New Roman" w:eastAsia="標楷體" w:hAnsi="Times New Roman"/>
                <w:sz w:val="28"/>
                <w:szCs w:val="28"/>
                <w:lang w:eastAsia="zh-CN"/>
              </w:rPr>
              <w:t>，等長短不一，</w:t>
            </w:r>
            <w:r w:rsidR="00E56AD1" w:rsidRPr="003E10D3">
              <w:rPr>
                <w:rFonts w:ascii="Times New Roman" w:eastAsia="標楷體" w:hAnsi="Times New Roman"/>
                <w:sz w:val="28"/>
                <w:szCs w:val="28"/>
                <w:lang w:eastAsia="zh-CN"/>
              </w:rPr>
              <w:t>也有</w:t>
            </w:r>
            <w:r w:rsidR="007039BA" w:rsidRPr="003E10D3">
              <w:rPr>
                <w:rFonts w:ascii="Times New Roman" w:eastAsia="標楷體" w:hAnsi="Times New Roman"/>
                <w:sz w:val="28"/>
                <w:szCs w:val="28"/>
                <w:lang w:eastAsia="zh-CN"/>
              </w:rPr>
              <w:t>極少數反而是</w:t>
            </w:r>
            <w:r w:rsidR="0062110E" w:rsidRPr="003E10D3">
              <w:rPr>
                <w:rFonts w:ascii="Times New Roman" w:eastAsia="標楷體" w:hAnsi="Times New Roman"/>
                <w:sz w:val="28"/>
                <w:szCs w:val="28"/>
                <w:lang w:eastAsia="zh-CN"/>
              </w:rPr>
              <w:t>落後的（</w:t>
            </w:r>
            <w:r w:rsidR="00C47753" w:rsidRPr="003E10D3">
              <w:rPr>
                <w:rFonts w:ascii="Times New Roman" w:eastAsia="標楷體" w:hAnsi="Times New Roman"/>
                <w:sz w:val="28"/>
                <w:szCs w:val="28"/>
                <w:lang w:eastAsia="zh-CN"/>
              </w:rPr>
              <w:t>即領先指標失靈）</w:t>
            </w:r>
            <w:r w:rsidR="007D223B" w:rsidRPr="003E10D3">
              <w:rPr>
                <w:rFonts w:ascii="Times New Roman" w:eastAsia="標楷體" w:hAnsi="Times New Roman"/>
                <w:sz w:val="28"/>
                <w:szCs w:val="28"/>
                <w:lang w:eastAsia="zh-CN"/>
              </w:rPr>
              <w:t>。</w:t>
            </w:r>
            <w:r w:rsidR="00C47753" w:rsidRPr="003E10D3">
              <w:rPr>
                <w:rFonts w:ascii="Times New Roman" w:eastAsia="標楷體" w:hAnsi="Times New Roman"/>
                <w:sz w:val="28"/>
                <w:szCs w:val="28"/>
                <w:lang w:eastAsia="zh-CN"/>
              </w:rPr>
              <w:t>簡言之，就以</w:t>
            </w:r>
            <w:r w:rsidR="00005C63" w:rsidRPr="003E10D3">
              <w:rPr>
                <w:rFonts w:ascii="Times New Roman" w:eastAsia="標楷體" w:hAnsi="Times New Roman"/>
                <w:sz w:val="28"/>
                <w:szCs w:val="28"/>
                <w:lang w:eastAsia="zh-CN"/>
              </w:rPr>
              <w:t>最長的</w:t>
            </w:r>
            <w:r w:rsidR="00005C63" w:rsidRPr="003E10D3">
              <w:rPr>
                <w:rFonts w:ascii="Times New Roman" w:eastAsia="標楷體" w:hAnsi="Times New Roman"/>
                <w:sz w:val="28"/>
                <w:szCs w:val="28"/>
                <w:lang w:eastAsia="zh-CN"/>
              </w:rPr>
              <w:t>11</w:t>
            </w:r>
            <w:r w:rsidR="00005C63" w:rsidRPr="003E10D3">
              <w:rPr>
                <w:rFonts w:ascii="Times New Roman" w:eastAsia="標楷體" w:hAnsi="Times New Roman"/>
                <w:sz w:val="28"/>
                <w:szCs w:val="28"/>
                <w:lang w:eastAsia="zh-CN"/>
              </w:rPr>
              <w:t>月來算，</w:t>
            </w:r>
            <w:r w:rsidR="00A476D7" w:rsidRPr="003E10D3">
              <w:rPr>
                <w:rFonts w:ascii="Times New Roman" w:eastAsia="標楷體" w:hAnsi="Times New Roman"/>
                <w:sz w:val="28"/>
                <w:szCs w:val="28"/>
                <w:lang w:eastAsia="zh-CN"/>
              </w:rPr>
              <w:t>台灣整體景氣在今年</w:t>
            </w:r>
            <w:r w:rsidR="006876F3" w:rsidRPr="003E10D3">
              <w:rPr>
                <w:rFonts w:ascii="Times New Roman" w:eastAsia="標楷體" w:hAnsi="Times New Roman"/>
                <w:sz w:val="28"/>
                <w:szCs w:val="28"/>
                <w:lang w:eastAsia="zh-CN"/>
              </w:rPr>
              <w:t>年底衰退可能性</w:t>
            </w:r>
            <w:r w:rsidR="00FD3C77" w:rsidRPr="003E10D3">
              <w:rPr>
                <w:rFonts w:ascii="Times New Roman" w:eastAsia="標楷體" w:hAnsi="Times New Roman"/>
                <w:sz w:val="28"/>
                <w:szCs w:val="28"/>
                <w:lang w:eastAsia="zh-CN"/>
              </w:rPr>
              <w:t>是極高的。除非</w:t>
            </w:r>
            <w:r w:rsidR="009A6E12" w:rsidRPr="003E10D3">
              <w:rPr>
                <w:rFonts w:ascii="Times New Roman" w:eastAsia="標楷體" w:hAnsi="Times New Roman"/>
                <w:sz w:val="28"/>
                <w:szCs w:val="28"/>
                <w:lang w:eastAsia="zh-CN"/>
              </w:rPr>
              <w:t>立即施以強而有效的景氣</w:t>
            </w:r>
            <w:r w:rsidR="00D9295C" w:rsidRPr="003E10D3">
              <w:rPr>
                <w:rFonts w:ascii="Times New Roman" w:eastAsia="標楷體" w:hAnsi="Times New Roman"/>
                <w:sz w:val="28"/>
                <w:szCs w:val="28"/>
                <w:lang w:eastAsia="zh-CN"/>
              </w:rPr>
              <w:t>激勵措施。</w:t>
            </w:r>
          </w:p>
          <w:p w14:paraId="06792C49" w14:textId="0387037A" w:rsidR="003A4AA7" w:rsidRPr="00DB7372" w:rsidRDefault="00E71001" w:rsidP="003126E7">
            <w:pPr>
              <w:pStyle w:val="a3"/>
              <w:numPr>
                <w:ilvl w:val="0"/>
                <w:numId w:val="12"/>
              </w:numPr>
              <w:adjustRightInd w:val="0"/>
              <w:ind w:leftChars="0"/>
              <w:rPr>
                <w:rFonts w:ascii="Times New Roman" w:eastAsia="標楷體" w:hAnsi="Times New Roman"/>
                <w:sz w:val="28"/>
                <w:szCs w:val="28"/>
                <w:lang w:eastAsia="zh-CN"/>
              </w:rPr>
            </w:pPr>
            <w:r w:rsidRPr="00DB7372">
              <w:rPr>
                <w:rFonts w:ascii="Times New Roman" w:eastAsia="標楷體" w:hAnsi="Times New Roman"/>
                <w:sz w:val="28"/>
                <w:szCs w:val="28"/>
                <w:lang w:eastAsia="zh-CN"/>
              </w:rPr>
              <w:t>再從</w:t>
            </w:r>
            <w:r w:rsidR="0039328C" w:rsidRPr="00DB7372">
              <w:rPr>
                <w:rFonts w:ascii="Times New Roman" w:eastAsia="標楷體" w:hAnsi="Times New Roman"/>
                <w:sz w:val="28"/>
                <w:szCs w:val="28"/>
                <w:lang w:eastAsia="zh-CN"/>
              </w:rPr>
              <w:t>歷次循環的擴張期觀之，</w:t>
            </w:r>
            <w:r w:rsidR="008E76F2" w:rsidRPr="00DB7372">
              <w:rPr>
                <w:rFonts w:ascii="Times New Roman" w:eastAsia="標楷體" w:hAnsi="Times New Roman"/>
                <w:sz w:val="28"/>
                <w:szCs w:val="28"/>
                <w:lang w:eastAsia="zh-CN"/>
              </w:rPr>
              <w:t>自</w:t>
            </w:r>
            <w:r w:rsidR="000373C0" w:rsidRPr="00DB7372">
              <w:rPr>
                <w:rFonts w:ascii="Times New Roman" w:eastAsia="標楷體" w:hAnsi="Times New Roman"/>
                <w:sz w:val="28"/>
                <w:szCs w:val="28"/>
                <w:lang w:eastAsia="zh-CN"/>
              </w:rPr>
              <w:t>2001</w:t>
            </w:r>
            <w:r w:rsidR="000373C0" w:rsidRPr="00DB7372">
              <w:rPr>
                <w:rFonts w:ascii="Times New Roman" w:eastAsia="標楷體" w:hAnsi="Times New Roman"/>
                <w:sz w:val="28"/>
                <w:szCs w:val="28"/>
                <w:lang w:eastAsia="zh-CN"/>
              </w:rPr>
              <w:t>年起</w:t>
            </w:r>
            <w:r w:rsidR="0047672E" w:rsidRPr="00DB7372">
              <w:rPr>
                <w:rFonts w:ascii="Times New Roman" w:eastAsia="標楷體" w:hAnsi="Times New Roman"/>
                <w:sz w:val="28"/>
                <w:szCs w:val="28"/>
                <w:lang w:eastAsia="zh-CN"/>
              </w:rPr>
              <w:t>至最</w:t>
            </w:r>
            <w:r w:rsidR="00191914" w:rsidRPr="00DB7372">
              <w:rPr>
                <w:rFonts w:ascii="Times New Roman" w:eastAsia="標楷體" w:hAnsi="Times New Roman"/>
                <w:sz w:val="28"/>
                <w:szCs w:val="28"/>
                <w:lang w:eastAsia="zh-CN"/>
              </w:rPr>
              <w:t>近的一次衰退（</w:t>
            </w:r>
            <w:r w:rsidR="00191914" w:rsidRPr="00DB7372">
              <w:rPr>
                <w:rFonts w:ascii="Times New Roman" w:eastAsia="標楷體" w:hAnsi="Times New Roman"/>
                <w:sz w:val="28"/>
                <w:szCs w:val="28"/>
                <w:lang w:eastAsia="zh-CN"/>
              </w:rPr>
              <w:t>2014/10</w:t>
            </w:r>
            <w:r w:rsidR="00191914" w:rsidRPr="00DB7372">
              <w:rPr>
                <w:rFonts w:ascii="Times New Roman" w:eastAsia="標楷體" w:hAnsi="Times New Roman"/>
                <w:sz w:val="28"/>
                <w:szCs w:val="28"/>
                <w:lang w:eastAsia="zh-CN"/>
              </w:rPr>
              <w:t>），</w:t>
            </w:r>
            <w:r w:rsidR="00904006" w:rsidRPr="00DB7372">
              <w:rPr>
                <w:rFonts w:ascii="Times New Roman" w:eastAsia="標楷體" w:hAnsi="Times New Roman"/>
                <w:sz w:val="28"/>
                <w:szCs w:val="28"/>
                <w:lang w:eastAsia="zh-CN"/>
              </w:rPr>
              <w:t>共四次的擴張，最長是</w:t>
            </w:r>
            <w:r w:rsidR="00904006" w:rsidRPr="00DB7372">
              <w:rPr>
                <w:rFonts w:ascii="Times New Roman" w:eastAsia="標楷體" w:hAnsi="Times New Roman"/>
                <w:sz w:val="28"/>
                <w:szCs w:val="28"/>
                <w:lang w:eastAsia="zh-CN"/>
              </w:rPr>
              <w:t>37</w:t>
            </w:r>
            <w:r w:rsidR="007307F8" w:rsidRPr="00DB7372">
              <w:rPr>
                <w:rFonts w:ascii="Times New Roman" w:eastAsia="標楷體" w:hAnsi="Times New Roman"/>
                <w:sz w:val="28"/>
                <w:szCs w:val="28"/>
                <w:lang w:eastAsia="zh-CN"/>
              </w:rPr>
              <w:t>個月（</w:t>
            </w:r>
            <w:r w:rsidR="007307F8" w:rsidRPr="00DB7372">
              <w:rPr>
                <w:rFonts w:ascii="Times New Roman" w:eastAsia="標楷體" w:hAnsi="Times New Roman"/>
                <w:sz w:val="28"/>
                <w:szCs w:val="28"/>
                <w:lang w:eastAsia="zh-CN"/>
              </w:rPr>
              <w:t>2005/2</w:t>
            </w:r>
            <w:r w:rsidR="00255A23" w:rsidRPr="00DB7372">
              <w:rPr>
                <w:rFonts w:ascii="Times New Roman" w:eastAsia="標楷體" w:hAnsi="Times New Roman"/>
                <w:sz w:val="28"/>
                <w:szCs w:val="28"/>
                <w:lang w:eastAsia="zh-CN"/>
              </w:rPr>
              <w:t>-2008/3</w:t>
            </w:r>
            <w:r w:rsidR="00255A23" w:rsidRPr="00DB7372">
              <w:rPr>
                <w:rFonts w:ascii="Times New Roman" w:eastAsia="標楷體" w:hAnsi="Times New Roman"/>
                <w:sz w:val="28"/>
                <w:szCs w:val="28"/>
                <w:lang w:eastAsia="zh-CN"/>
              </w:rPr>
              <w:t>），最短是</w:t>
            </w:r>
            <w:r w:rsidR="00255A23" w:rsidRPr="00DB7372">
              <w:rPr>
                <w:rFonts w:ascii="Times New Roman" w:eastAsia="標楷體" w:hAnsi="Times New Roman"/>
                <w:sz w:val="28"/>
                <w:szCs w:val="28"/>
                <w:lang w:eastAsia="zh-CN"/>
              </w:rPr>
              <w:t>24</w:t>
            </w:r>
            <w:r w:rsidR="00255A23" w:rsidRPr="00DB7372">
              <w:rPr>
                <w:rFonts w:ascii="Times New Roman" w:eastAsia="標楷體" w:hAnsi="Times New Roman"/>
                <w:sz w:val="28"/>
                <w:szCs w:val="28"/>
                <w:lang w:eastAsia="zh-CN"/>
              </w:rPr>
              <w:t>個</w:t>
            </w:r>
            <w:r w:rsidR="000E1091" w:rsidRPr="00DB7372">
              <w:rPr>
                <w:rFonts w:ascii="Times New Roman" w:eastAsia="標楷體" w:hAnsi="Times New Roman"/>
                <w:sz w:val="28"/>
                <w:szCs w:val="28"/>
                <w:lang w:eastAsia="zh-CN"/>
              </w:rPr>
              <w:t>月（</w:t>
            </w:r>
            <w:r w:rsidR="000E1091" w:rsidRPr="00DB7372">
              <w:rPr>
                <w:rFonts w:ascii="Times New Roman" w:eastAsia="標楷體" w:hAnsi="Times New Roman"/>
                <w:sz w:val="28"/>
                <w:szCs w:val="28"/>
                <w:lang w:eastAsia="zh-CN"/>
              </w:rPr>
              <w:t>2009/2-2011/2</w:t>
            </w:r>
            <w:r w:rsidR="000E1091" w:rsidRPr="00DB7372">
              <w:rPr>
                <w:rFonts w:ascii="Times New Roman" w:eastAsia="標楷體" w:hAnsi="Times New Roman"/>
                <w:sz w:val="28"/>
                <w:szCs w:val="28"/>
                <w:lang w:eastAsia="zh-CN"/>
              </w:rPr>
              <w:t>），上一次</w:t>
            </w:r>
            <w:r w:rsidR="00023209" w:rsidRPr="00DB7372">
              <w:rPr>
                <w:rFonts w:ascii="Times New Roman" w:eastAsia="標楷體" w:hAnsi="Times New Roman"/>
                <w:sz w:val="28"/>
                <w:szCs w:val="28"/>
                <w:lang w:eastAsia="zh-CN"/>
              </w:rPr>
              <w:t>是</w:t>
            </w:r>
            <w:r w:rsidR="00023209" w:rsidRPr="00DB7372">
              <w:rPr>
                <w:rFonts w:ascii="Times New Roman" w:eastAsia="標楷體" w:hAnsi="Times New Roman"/>
                <w:sz w:val="28"/>
                <w:szCs w:val="28"/>
                <w:lang w:eastAsia="zh-CN"/>
              </w:rPr>
              <w:t>33</w:t>
            </w:r>
            <w:r w:rsidR="00023209" w:rsidRPr="00DB7372">
              <w:rPr>
                <w:rFonts w:ascii="Times New Roman" w:eastAsia="標楷體" w:hAnsi="Times New Roman"/>
                <w:sz w:val="28"/>
                <w:szCs w:val="28"/>
                <w:lang w:eastAsia="zh-CN"/>
              </w:rPr>
              <w:t>個月（</w:t>
            </w:r>
            <w:r w:rsidR="00023209" w:rsidRPr="00DB7372">
              <w:rPr>
                <w:rFonts w:ascii="Times New Roman" w:eastAsia="標楷體" w:hAnsi="Times New Roman"/>
                <w:sz w:val="28"/>
                <w:szCs w:val="28"/>
                <w:lang w:eastAsia="zh-CN"/>
              </w:rPr>
              <w:t>2012/1-2014/10</w:t>
            </w:r>
            <w:r w:rsidR="00023209" w:rsidRPr="00DB7372">
              <w:rPr>
                <w:rFonts w:ascii="Times New Roman" w:eastAsia="標楷體" w:hAnsi="Times New Roman"/>
                <w:sz w:val="28"/>
                <w:szCs w:val="28"/>
                <w:lang w:eastAsia="zh-CN"/>
              </w:rPr>
              <w:t>）</w:t>
            </w:r>
            <w:r w:rsidR="009768B0" w:rsidRPr="00DB7372">
              <w:rPr>
                <w:rFonts w:ascii="Times New Roman" w:eastAsia="標楷體" w:hAnsi="Times New Roman"/>
                <w:sz w:val="28"/>
                <w:szCs w:val="28"/>
                <w:lang w:eastAsia="zh-CN"/>
              </w:rPr>
              <w:t>，四次擴張期平均長度是</w:t>
            </w:r>
            <w:r w:rsidR="00BC4632" w:rsidRPr="00DB7372">
              <w:rPr>
                <w:rFonts w:ascii="Times New Roman" w:eastAsia="標楷體" w:hAnsi="Times New Roman"/>
                <w:sz w:val="28"/>
                <w:szCs w:val="28"/>
                <w:lang w:eastAsia="zh-CN"/>
              </w:rPr>
              <w:t>31</w:t>
            </w:r>
            <w:r w:rsidR="00BC4632" w:rsidRPr="00DB7372">
              <w:rPr>
                <w:rFonts w:ascii="Times New Roman" w:eastAsia="標楷體" w:hAnsi="Times New Roman"/>
                <w:sz w:val="28"/>
                <w:szCs w:val="28"/>
                <w:lang w:eastAsia="zh-CN"/>
              </w:rPr>
              <w:t>個月。鑑之這次</w:t>
            </w:r>
            <w:r w:rsidR="00F002E4" w:rsidRPr="00DB7372">
              <w:rPr>
                <w:rFonts w:ascii="Times New Roman" w:eastAsia="標楷體" w:hAnsi="Times New Roman"/>
                <w:sz w:val="28"/>
                <w:szCs w:val="28"/>
                <w:lang w:eastAsia="zh-CN"/>
              </w:rPr>
              <w:t>2016/2</w:t>
            </w:r>
            <w:r w:rsidR="00F002E4" w:rsidRPr="00DB7372">
              <w:rPr>
                <w:rFonts w:ascii="Times New Roman" w:eastAsia="標楷體" w:hAnsi="Times New Roman"/>
                <w:sz w:val="28"/>
                <w:szCs w:val="28"/>
                <w:lang w:eastAsia="zh-CN"/>
              </w:rPr>
              <w:t>開始</w:t>
            </w:r>
            <w:r w:rsidR="00BC4632" w:rsidRPr="00DB7372">
              <w:rPr>
                <w:rFonts w:ascii="Times New Roman" w:eastAsia="標楷體" w:hAnsi="Times New Roman"/>
                <w:sz w:val="28"/>
                <w:szCs w:val="28"/>
                <w:lang w:eastAsia="zh-CN"/>
              </w:rPr>
              <w:t>的</w:t>
            </w:r>
            <w:r w:rsidR="003126E7" w:rsidRPr="003126E7">
              <w:rPr>
                <w:rFonts w:ascii="Times New Roman" w:eastAsia="標楷體" w:hAnsi="Times New Roman" w:hint="eastAsia"/>
                <w:sz w:val="28"/>
                <w:szCs w:val="28"/>
                <w:lang w:eastAsia="zh-CN"/>
              </w:rPr>
              <w:t>復甦</w:t>
            </w:r>
            <w:r w:rsidR="00B62A1C" w:rsidRPr="00DB7372">
              <w:rPr>
                <w:rFonts w:ascii="Times New Roman" w:eastAsia="標楷體" w:hAnsi="Times New Roman"/>
                <w:sz w:val="28"/>
                <w:szCs w:val="28"/>
                <w:lang w:eastAsia="zh-CN"/>
              </w:rPr>
              <w:t>，迄今已有</w:t>
            </w:r>
            <w:r w:rsidR="00B62A1C" w:rsidRPr="00DB7372">
              <w:rPr>
                <w:rFonts w:ascii="Times New Roman" w:eastAsia="標楷體" w:hAnsi="Times New Roman"/>
                <w:sz w:val="28"/>
                <w:szCs w:val="28"/>
                <w:lang w:eastAsia="zh-CN"/>
              </w:rPr>
              <w:t>26</w:t>
            </w:r>
            <w:r w:rsidR="00B62A1C" w:rsidRPr="00DB7372">
              <w:rPr>
                <w:rFonts w:ascii="Times New Roman" w:eastAsia="標楷體" w:hAnsi="Times New Roman"/>
                <w:sz w:val="28"/>
                <w:szCs w:val="28"/>
                <w:lang w:eastAsia="zh-CN"/>
              </w:rPr>
              <w:t>個</w:t>
            </w:r>
            <w:r w:rsidR="0004678F" w:rsidRPr="00DB7372">
              <w:rPr>
                <w:rFonts w:ascii="Times New Roman" w:eastAsia="標楷體" w:hAnsi="Times New Roman"/>
                <w:sz w:val="28"/>
                <w:szCs w:val="28"/>
                <w:lang w:eastAsia="zh-CN"/>
              </w:rPr>
              <w:t>月，若持續</w:t>
            </w:r>
            <w:r w:rsidR="003126E7" w:rsidRPr="003126E7">
              <w:rPr>
                <w:rFonts w:ascii="Times New Roman" w:eastAsia="標楷體" w:hAnsi="Times New Roman" w:hint="eastAsia"/>
                <w:sz w:val="28"/>
                <w:szCs w:val="28"/>
                <w:lang w:eastAsia="zh-CN"/>
              </w:rPr>
              <w:t>復甦</w:t>
            </w:r>
            <w:r w:rsidR="0004678F" w:rsidRPr="00DB7372">
              <w:rPr>
                <w:rFonts w:ascii="Times New Roman" w:eastAsia="標楷體" w:hAnsi="Times New Roman"/>
                <w:sz w:val="28"/>
                <w:szCs w:val="28"/>
                <w:lang w:eastAsia="zh-CN"/>
              </w:rPr>
              <w:t>到年底</w:t>
            </w:r>
            <w:r w:rsidR="00AC62E9" w:rsidRPr="00DB7372">
              <w:rPr>
                <w:rFonts w:ascii="Times New Roman" w:eastAsia="標楷體" w:hAnsi="Times New Roman"/>
                <w:sz w:val="28"/>
                <w:szCs w:val="28"/>
                <w:lang w:eastAsia="zh-CN"/>
              </w:rPr>
              <w:t>則有</w:t>
            </w:r>
            <w:r w:rsidR="00AC62E9" w:rsidRPr="00DB7372">
              <w:rPr>
                <w:rFonts w:ascii="Times New Roman" w:eastAsia="標楷體" w:hAnsi="Times New Roman"/>
                <w:sz w:val="28"/>
                <w:szCs w:val="28"/>
                <w:lang w:eastAsia="zh-CN"/>
              </w:rPr>
              <w:t>34</w:t>
            </w:r>
            <w:r w:rsidR="00AC62E9" w:rsidRPr="00DB7372">
              <w:rPr>
                <w:rFonts w:ascii="Times New Roman" w:eastAsia="標楷體" w:hAnsi="Times New Roman"/>
                <w:sz w:val="28"/>
                <w:szCs w:val="28"/>
                <w:lang w:eastAsia="zh-CN"/>
              </w:rPr>
              <w:t>個月。亦</w:t>
            </w:r>
            <w:r w:rsidR="00B84708" w:rsidRPr="00DB7372">
              <w:rPr>
                <w:rFonts w:ascii="Times New Roman" w:eastAsia="標楷體" w:hAnsi="Times New Roman"/>
                <w:sz w:val="28"/>
                <w:szCs w:val="28"/>
                <w:lang w:eastAsia="zh-CN"/>
              </w:rPr>
              <w:t>顯示在年底景氣</w:t>
            </w:r>
            <w:r w:rsidR="007213DD" w:rsidRPr="00DB7372">
              <w:rPr>
                <w:rFonts w:ascii="Times New Roman" w:eastAsia="標楷體" w:hAnsi="Times New Roman"/>
                <w:sz w:val="28"/>
                <w:szCs w:val="28"/>
                <w:lang w:eastAsia="zh-CN"/>
              </w:rPr>
              <w:t>見衰的風險十分之高。</w:t>
            </w:r>
          </w:p>
          <w:p w14:paraId="43C25951" w14:textId="6E54122C" w:rsidR="00392402" w:rsidRPr="003E10D3" w:rsidRDefault="00DA5DA9" w:rsidP="003126E7">
            <w:pPr>
              <w:pStyle w:val="a3"/>
              <w:numPr>
                <w:ilvl w:val="0"/>
                <w:numId w:val="12"/>
              </w:numPr>
              <w:adjustRightInd w:val="0"/>
              <w:ind w:leftChars="0"/>
              <w:rPr>
                <w:rFonts w:ascii="Times New Roman" w:eastAsia="標楷體" w:hAnsi="Times New Roman"/>
                <w:sz w:val="28"/>
                <w:szCs w:val="28"/>
                <w:lang w:eastAsia="zh-CN"/>
              </w:rPr>
            </w:pPr>
            <w:r w:rsidRPr="00DB7372">
              <w:rPr>
                <w:rFonts w:ascii="Times New Roman" w:eastAsia="標楷體" w:hAnsi="Times New Roman"/>
                <w:sz w:val="28"/>
                <w:szCs w:val="28"/>
                <w:lang w:eastAsia="zh-CN"/>
              </w:rPr>
              <w:t>另外從</w:t>
            </w:r>
            <w:r w:rsidR="003D250A" w:rsidRPr="00DB7372">
              <w:rPr>
                <w:rFonts w:ascii="Times New Roman" w:eastAsia="標楷體" w:hAnsi="Times New Roman"/>
                <w:sz w:val="28"/>
                <w:szCs w:val="28"/>
                <w:lang w:eastAsia="zh-CN"/>
              </w:rPr>
              <w:t>國發會這</w:t>
            </w:r>
            <w:r w:rsidR="00EF3C0D" w:rsidRPr="00DB7372">
              <w:rPr>
                <w:rFonts w:ascii="Times New Roman" w:eastAsia="標楷體" w:hAnsi="Times New Roman"/>
                <w:sz w:val="28"/>
                <w:szCs w:val="28"/>
                <w:lang w:eastAsia="zh-CN"/>
              </w:rPr>
              <w:t>個</w:t>
            </w:r>
            <w:r w:rsidRPr="00DB7372">
              <w:rPr>
                <w:rFonts w:ascii="Times New Roman" w:eastAsia="標楷體" w:hAnsi="Times New Roman"/>
                <w:sz w:val="28"/>
                <w:szCs w:val="28"/>
                <w:lang w:eastAsia="zh-CN"/>
              </w:rPr>
              <w:t>領先指標</w:t>
            </w:r>
            <w:r w:rsidR="003D250A" w:rsidRPr="00DB7372">
              <w:rPr>
                <w:rFonts w:ascii="Times New Roman" w:eastAsia="標楷體" w:hAnsi="Times New Roman"/>
                <w:sz w:val="28"/>
                <w:szCs w:val="28"/>
                <w:lang w:eastAsia="zh-CN"/>
              </w:rPr>
              <w:t>的經驗看，</w:t>
            </w:r>
            <w:r w:rsidR="00EF3C0D" w:rsidRPr="00DB7372">
              <w:rPr>
                <w:rFonts w:ascii="Times New Roman" w:eastAsia="標楷體" w:hAnsi="Times New Roman"/>
                <w:sz w:val="28"/>
                <w:szCs w:val="28"/>
                <w:lang w:eastAsia="zh-CN"/>
              </w:rPr>
              <w:t>雖有波動不</w:t>
            </w:r>
            <w:r w:rsidR="009C7BDE" w:rsidRPr="00DB7372">
              <w:rPr>
                <w:rFonts w:ascii="Times New Roman" w:eastAsia="標楷體" w:hAnsi="Times New Roman"/>
                <w:sz w:val="28"/>
                <w:szCs w:val="28"/>
                <w:lang w:eastAsia="zh-CN"/>
              </w:rPr>
              <w:t>定的不確定性</w:t>
            </w:r>
            <w:r w:rsidR="003D0853" w:rsidRPr="00DB7372">
              <w:rPr>
                <w:rFonts w:ascii="Times New Roman" w:eastAsia="標楷體" w:hAnsi="Times New Roman"/>
                <w:sz w:val="28"/>
                <w:szCs w:val="28"/>
                <w:lang w:eastAsia="zh-CN"/>
              </w:rPr>
              <w:t>問題，但領先指標若持續下</w:t>
            </w:r>
            <w:r w:rsidR="0034002F" w:rsidRPr="00DB7372">
              <w:rPr>
                <w:rFonts w:ascii="Times New Roman" w:eastAsia="標楷體" w:hAnsi="Times New Roman"/>
                <w:sz w:val="28"/>
                <w:szCs w:val="28"/>
                <w:lang w:eastAsia="zh-CN"/>
              </w:rPr>
              <w:t>降八個月不斷</w:t>
            </w:r>
            <w:r w:rsidR="00607BA2" w:rsidRPr="00DB7372">
              <w:rPr>
                <w:rFonts w:ascii="Times New Roman" w:eastAsia="標楷體" w:hAnsi="Times New Roman"/>
                <w:sz w:val="28"/>
                <w:szCs w:val="28"/>
                <w:lang w:eastAsia="zh-CN"/>
              </w:rPr>
              <w:t>，</w:t>
            </w:r>
            <w:r w:rsidR="0034002F" w:rsidRPr="00DB7372">
              <w:rPr>
                <w:rFonts w:ascii="Times New Roman" w:eastAsia="標楷體" w:hAnsi="Times New Roman"/>
                <w:sz w:val="28"/>
                <w:szCs w:val="28"/>
                <w:lang w:eastAsia="zh-CN"/>
              </w:rPr>
              <w:t>就可</w:t>
            </w:r>
            <w:r w:rsidR="004B2031" w:rsidRPr="00DB7372">
              <w:rPr>
                <w:rFonts w:ascii="Times New Roman" w:eastAsia="標楷體" w:hAnsi="Times New Roman"/>
                <w:sz w:val="28"/>
                <w:szCs w:val="28"/>
                <w:lang w:eastAsia="zh-CN"/>
              </w:rPr>
              <w:t>預料會有尾隨</w:t>
            </w:r>
            <w:r w:rsidR="00732340" w:rsidRPr="00DB7372">
              <w:rPr>
                <w:rFonts w:ascii="Times New Roman" w:eastAsia="標楷體" w:hAnsi="Times New Roman"/>
                <w:sz w:val="28"/>
                <w:szCs w:val="28"/>
                <w:lang w:eastAsia="zh-CN"/>
              </w:rPr>
              <w:t>而來的真正衰退</w:t>
            </w:r>
            <w:r w:rsidR="00607BA2" w:rsidRPr="00DB7372">
              <w:rPr>
                <w:rFonts w:ascii="Times New Roman" w:eastAsia="標楷體" w:hAnsi="Times New Roman"/>
                <w:sz w:val="28"/>
                <w:szCs w:val="28"/>
                <w:lang w:eastAsia="zh-CN"/>
              </w:rPr>
              <w:t>發生</w:t>
            </w:r>
            <w:r w:rsidR="00732340" w:rsidRPr="00DB7372">
              <w:rPr>
                <w:rFonts w:ascii="Times New Roman" w:eastAsia="標楷體" w:hAnsi="Times New Roman"/>
                <w:sz w:val="28"/>
                <w:szCs w:val="28"/>
                <w:lang w:eastAsia="zh-CN"/>
              </w:rPr>
              <w:t>。目前</w:t>
            </w:r>
            <w:r w:rsidR="00533C84" w:rsidRPr="00DB7372">
              <w:rPr>
                <w:rFonts w:ascii="Times New Roman" w:eastAsia="標楷體" w:hAnsi="Times New Roman"/>
                <w:sz w:val="28"/>
                <w:szCs w:val="28"/>
                <w:lang w:eastAsia="zh-CN"/>
              </w:rPr>
              <w:t>到五月領先指標已連續下</w:t>
            </w:r>
            <w:r w:rsidR="00C13CE5" w:rsidRPr="00DB7372">
              <w:rPr>
                <w:rFonts w:ascii="Times New Roman" w:eastAsia="標楷體" w:hAnsi="Times New Roman"/>
                <w:sz w:val="28"/>
                <w:szCs w:val="28"/>
                <w:lang w:eastAsia="zh-CN"/>
              </w:rPr>
              <w:t>降半年，可見六月與七月是觀察期</w:t>
            </w:r>
            <w:r w:rsidR="005025BA" w:rsidRPr="00DB7372">
              <w:rPr>
                <w:rFonts w:ascii="Times New Roman" w:eastAsia="標楷體" w:hAnsi="Times New Roman"/>
                <w:sz w:val="28"/>
                <w:szCs w:val="28"/>
                <w:lang w:eastAsia="zh-CN"/>
              </w:rPr>
              <w:t>，若繼續</w:t>
            </w:r>
            <w:r w:rsidR="0015092D" w:rsidRPr="00DB7372">
              <w:rPr>
                <w:rFonts w:ascii="Times New Roman" w:eastAsia="標楷體" w:hAnsi="Times New Roman"/>
                <w:sz w:val="28"/>
                <w:szCs w:val="28"/>
                <w:lang w:eastAsia="zh-CN"/>
              </w:rPr>
              <w:t>下降</w:t>
            </w:r>
            <w:r w:rsidR="00F510CE" w:rsidRPr="00DB7372">
              <w:rPr>
                <w:rFonts w:ascii="Times New Roman" w:eastAsia="標楷體" w:hAnsi="Times New Roman"/>
                <w:sz w:val="28"/>
                <w:szCs w:val="28"/>
                <w:lang w:eastAsia="zh-CN"/>
              </w:rPr>
              <w:t>兩個月</w:t>
            </w:r>
            <w:r w:rsidR="0015092D" w:rsidRPr="00DB7372">
              <w:rPr>
                <w:rFonts w:ascii="Times New Roman" w:eastAsia="標楷體" w:hAnsi="Times New Roman"/>
                <w:sz w:val="28"/>
                <w:szCs w:val="28"/>
                <w:lang w:eastAsia="zh-CN"/>
              </w:rPr>
              <w:t>就極可能</w:t>
            </w:r>
            <w:r w:rsidR="001A56C7" w:rsidRPr="00DB7372">
              <w:rPr>
                <w:rFonts w:ascii="Times New Roman" w:eastAsia="標楷體" w:hAnsi="Times New Roman"/>
                <w:sz w:val="28"/>
                <w:szCs w:val="28"/>
                <w:lang w:eastAsia="zh-CN"/>
              </w:rPr>
              <w:t>會出現衰退</w:t>
            </w:r>
            <w:r w:rsidR="00B56091" w:rsidRPr="00DB7372">
              <w:rPr>
                <w:rFonts w:ascii="Times New Roman" w:eastAsia="標楷體" w:hAnsi="Times New Roman"/>
                <w:sz w:val="28"/>
                <w:szCs w:val="28"/>
                <w:lang w:eastAsia="zh-CN"/>
              </w:rPr>
              <w:t>。</w:t>
            </w:r>
            <w:r w:rsidR="001A56C7" w:rsidRPr="00DB7372">
              <w:rPr>
                <w:rFonts w:ascii="Times New Roman" w:eastAsia="標楷體" w:hAnsi="Times New Roman"/>
                <w:sz w:val="28"/>
                <w:szCs w:val="28"/>
                <w:lang w:eastAsia="zh-CN"/>
              </w:rPr>
              <w:t>而衰退發生的可能時間</w:t>
            </w:r>
            <w:r w:rsidR="00B56091" w:rsidRPr="00DB7372">
              <w:rPr>
                <w:rFonts w:ascii="Times New Roman" w:eastAsia="標楷體" w:hAnsi="Times New Roman"/>
                <w:sz w:val="28"/>
                <w:szCs w:val="28"/>
                <w:lang w:eastAsia="zh-CN"/>
              </w:rPr>
              <w:t>，以</w:t>
            </w:r>
            <w:r w:rsidR="00AC13C8" w:rsidRPr="00DB7372">
              <w:rPr>
                <w:rFonts w:ascii="Times New Roman" w:eastAsia="標楷體" w:hAnsi="Times New Roman"/>
                <w:sz w:val="28"/>
                <w:szCs w:val="28"/>
                <w:lang w:eastAsia="zh-CN"/>
              </w:rPr>
              <w:t>過去</w:t>
            </w:r>
            <w:r w:rsidR="00B56091" w:rsidRPr="00DB7372">
              <w:rPr>
                <w:rFonts w:ascii="Times New Roman" w:eastAsia="標楷體" w:hAnsi="Times New Roman"/>
                <w:sz w:val="28"/>
                <w:szCs w:val="28"/>
                <w:lang w:eastAsia="zh-CN"/>
              </w:rPr>
              <w:t>領先的歷史記錄最長是</w:t>
            </w:r>
            <w:r w:rsidR="00B56091" w:rsidRPr="00DB7372">
              <w:rPr>
                <w:rFonts w:ascii="Times New Roman" w:eastAsia="標楷體" w:hAnsi="Times New Roman"/>
                <w:sz w:val="28"/>
                <w:szCs w:val="28"/>
                <w:lang w:eastAsia="zh-CN"/>
              </w:rPr>
              <w:t>11</w:t>
            </w:r>
            <w:r w:rsidR="00B56091" w:rsidRPr="00DB7372">
              <w:rPr>
                <w:rFonts w:ascii="Times New Roman" w:eastAsia="標楷體" w:hAnsi="Times New Roman"/>
                <w:sz w:val="28"/>
                <w:szCs w:val="28"/>
                <w:lang w:eastAsia="zh-CN"/>
              </w:rPr>
              <w:t>個</w:t>
            </w:r>
            <w:r w:rsidR="00AC13C8" w:rsidRPr="00DB7372">
              <w:rPr>
                <w:rFonts w:ascii="Times New Roman" w:eastAsia="標楷體" w:hAnsi="Times New Roman"/>
                <w:sz w:val="28"/>
                <w:szCs w:val="28"/>
                <w:lang w:eastAsia="zh-CN"/>
              </w:rPr>
              <w:t>月，</w:t>
            </w:r>
            <w:r w:rsidR="00055AD0" w:rsidRPr="00DB7372">
              <w:rPr>
                <w:rFonts w:ascii="Times New Roman" w:eastAsia="標楷體" w:hAnsi="Times New Roman"/>
                <w:sz w:val="28"/>
                <w:szCs w:val="28"/>
                <w:lang w:eastAsia="zh-CN"/>
              </w:rPr>
              <w:t>表示</w:t>
            </w:r>
            <w:r w:rsidR="002802F6" w:rsidRPr="00DB7372">
              <w:rPr>
                <w:rFonts w:ascii="Times New Roman" w:eastAsia="標楷體" w:hAnsi="Times New Roman"/>
                <w:sz w:val="28"/>
                <w:szCs w:val="28"/>
                <w:lang w:eastAsia="zh-CN"/>
              </w:rPr>
              <w:t>從目前到今年</w:t>
            </w:r>
            <w:r w:rsidR="00A41FB5" w:rsidRPr="00DB7372">
              <w:rPr>
                <w:rFonts w:ascii="Times New Roman" w:eastAsia="標楷體" w:hAnsi="Times New Roman"/>
                <w:sz w:val="28"/>
                <w:szCs w:val="28"/>
                <w:lang w:eastAsia="zh-CN"/>
              </w:rPr>
              <w:t>年底前不盡快盡</w:t>
            </w:r>
            <w:r w:rsidR="007D5842" w:rsidRPr="00DB7372">
              <w:rPr>
                <w:rFonts w:ascii="Times New Roman" w:eastAsia="標楷體" w:hAnsi="Times New Roman"/>
                <w:sz w:val="28"/>
                <w:szCs w:val="28"/>
                <w:lang w:eastAsia="zh-CN"/>
              </w:rPr>
              <w:t>力</w:t>
            </w:r>
            <w:r w:rsidR="00CF2D4F" w:rsidRPr="00DB7372">
              <w:rPr>
                <w:rFonts w:ascii="Times New Roman" w:eastAsia="標楷體" w:hAnsi="Times New Roman"/>
                <w:sz w:val="28"/>
                <w:szCs w:val="28"/>
                <w:lang w:eastAsia="zh-CN"/>
              </w:rPr>
              <w:t>地採行有效景氣激勵措施</w:t>
            </w:r>
            <w:r w:rsidR="005C18A9" w:rsidRPr="00DB7372">
              <w:rPr>
                <w:rFonts w:ascii="Times New Roman" w:eastAsia="標楷體" w:hAnsi="Times New Roman"/>
                <w:sz w:val="28"/>
                <w:szCs w:val="28"/>
                <w:lang w:eastAsia="zh-CN"/>
              </w:rPr>
              <w:t>就很難很難避免</w:t>
            </w:r>
            <w:r w:rsidR="00455774" w:rsidRPr="00DB7372">
              <w:rPr>
                <w:rFonts w:ascii="Times New Roman" w:eastAsia="標楷體" w:hAnsi="Times New Roman"/>
                <w:sz w:val="28"/>
                <w:szCs w:val="28"/>
                <w:lang w:eastAsia="zh-CN"/>
              </w:rPr>
              <w:t>年底</w:t>
            </w:r>
            <w:r w:rsidR="00DF5BF5" w:rsidRPr="00DB7372">
              <w:rPr>
                <w:rFonts w:ascii="Times New Roman" w:eastAsia="標楷體" w:hAnsi="Times New Roman"/>
                <w:sz w:val="28"/>
                <w:szCs w:val="28"/>
                <w:lang w:eastAsia="zh-CN"/>
              </w:rPr>
              <w:t>可能</w:t>
            </w:r>
            <w:r w:rsidR="00455774" w:rsidRPr="00DB7372">
              <w:rPr>
                <w:rFonts w:ascii="Times New Roman" w:eastAsia="標楷體" w:hAnsi="Times New Roman"/>
                <w:sz w:val="28"/>
                <w:szCs w:val="28"/>
                <w:lang w:eastAsia="zh-CN"/>
              </w:rPr>
              <w:t>出現</w:t>
            </w:r>
            <w:r w:rsidR="00DF5BF5" w:rsidRPr="00DB7372">
              <w:rPr>
                <w:rFonts w:ascii="Times New Roman" w:eastAsia="標楷體" w:hAnsi="Times New Roman"/>
                <w:sz w:val="28"/>
                <w:szCs w:val="28"/>
                <w:lang w:eastAsia="zh-CN"/>
              </w:rPr>
              <w:t>的</w:t>
            </w:r>
            <w:r w:rsidR="00455774" w:rsidRPr="00DB7372">
              <w:rPr>
                <w:rFonts w:ascii="Times New Roman" w:eastAsia="標楷體" w:hAnsi="Times New Roman"/>
                <w:sz w:val="28"/>
                <w:szCs w:val="28"/>
                <w:lang w:eastAsia="zh-CN"/>
              </w:rPr>
              <w:t>衰退</w:t>
            </w:r>
            <w:r w:rsidR="007D5842" w:rsidRPr="00DB7372">
              <w:rPr>
                <w:rFonts w:ascii="Times New Roman" w:eastAsia="標楷體" w:hAnsi="Times New Roman"/>
                <w:sz w:val="28"/>
                <w:szCs w:val="28"/>
                <w:lang w:eastAsia="zh-CN"/>
              </w:rPr>
              <w:t>。</w:t>
            </w:r>
          </w:p>
          <w:p w14:paraId="2A4A23FD" w14:textId="77777777" w:rsidR="003E10D3" w:rsidRPr="003E10D3" w:rsidRDefault="003E10D3" w:rsidP="003E10D3">
            <w:pPr>
              <w:adjustRightInd w:val="0"/>
              <w:rPr>
                <w:rFonts w:ascii="Times New Roman" w:eastAsia="SimSun" w:hAnsi="Times New Roman"/>
                <w:sz w:val="28"/>
                <w:szCs w:val="28"/>
                <w:lang w:eastAsia="zh-CN"/>
              </w:rPr>
            </w:pPr>
          </w:p>
          <w:p w14:paraId="19285FD7" w14:textId="7F1586A9" w:rsidR="00D9485F" w:rsidRPr="00DB7372" w:rsidRDefault="00623BA7" w:rsidP="002A5045">
            <w:pPr>
              <w:adjustRightInd w:val="0"/>
              <w:spacing w:line="440" w:lineRule="exact"/>
              <w:jc w:val="both"/>
              <w:rPr>
                <w:rFonts w:ascii="Times New Roman" w:eastAsia="標楷體" w:hAnsi="Times New Roman" w:cs="Times New Roman"/>
                <w:sz w:val="28"/>
                <w:szCs w:val="28"/>
                <w:lang w:eastAsia="zh-CN"/>
              </w:rPr>
            </w:pPr>
            <w:r w:rsidRPr="00DB7372">
              <w:rPr>
                <w:rFonts w:ascii="Times New Roman" w:eastAsia="標楷體" w:hAnsi="Times New Roman" w:cs="Times New Roman"/>
                <w:b/>
                <w:sz w:val="28"/>
                <w:szCs w:val="28"/>
              </w:rPr>
              <w:t xml:space="preserve"> </w:t>
            </w:r>
            <w:r w:rsidR="001801D5" w:rsidRPr="00DB7372">
              <w:rPr>
                <w:rFonts w:ascii="Times New Roman" w:eastAsia="標楷體" w:hAnsi="Times New Roman" w:cs="Times New Roman"/>
                <w:b/>
                <w:sz w:val="28"/>
                <w:szCs w:val="28"/>
                <w:lang w:eastAsia="zh-CN"/>
              </w:rPr>
              <w:t>(</w:t>
            </w:r>
            <w:r w:rsidR="00D9485F" w:rsidRPr="00DB7372">
              <w:rPr>
                <w:rFonts w:ascii="Times New Roman" w:eastAsia="標楷體" w:hAnsi="Times New Roman" w:cs="Times New Roman"/>
                <w:b/>
                <w:sz w:val="28"/>
                <w:szCs w:val="28"/>
              </w:rPr>
              <w:t>景氣循環指標</w:t>
            </w:r>
            <w:r w:rsidR="009F3739" w:rsidRPr="00DB7372">
              <w:rPr>
                <w:rFonts w:ascii="Times New Roman" w:eastAsia="標楷體" w:hAnsi="Times New Roman" w:cs="Times New Roman"/>
                <w:b/>
                <w:sz w:val="28"/>
                <w:szCs w:val="28"/>
              </w:rPr>
              <w:t>診斷</w:t>
            </w:r>
            <w:r w:rsidR="004A259F" w:rsidRPr="00DB7372">
              <w:rPr>
                <w:rFonts w:ascii="Times New Roman" w:eastAsia="標楷體" w:hAnsi="Times New Roman" w:cs="Times New Roman"/>
                <w:b/>
                <w:sz w:val="28"/>
                <w:szCs w:val="28"/>
              </w:rPr>
              <w:t>預測系統設計</w:t>
            </w:r>
            <w:r w:rsidR="009F3739" w:rsidRPr="00DB7372">
              <w:rPr>
                <w:rFonts w:ascii="Times New Roman" w:eastAsia="標楷體" w:hAnsi="Times New Roman" w:cs="Times New Roman"/>
                <w:b/>
                <w:sz w:val="28"/>
                <w:szCs w:val="28"/>
              </w:rPr>
              <w:t>指導與</w:t>
            </w:r>
            <w:r w:rsidR="001801D5" w:rsidRPr="00DB7372">
              <w:rPr>
                <w:rFonts w:ascii="Times New Roman" w:eastAsia="標楷體" w:hAnsi="Times New Roman" w:cs="Times New Roman"/>
                <w:b/>
                <w:sz w:val="28"/>
                <w:szCs w:val="28"/>
              </w:rPr>
              <w:t>分析</w:t>
            </w:r>
            <w:r w:rsidR="000B7628" w:rsidRPr="00DB7372">
              <w:rPr>
                <w:rFonts w:ascii="Times New Roman" w:eastAsia="標楷體" w:hAnsi="Times New Roman" w:cs="Times New Roman"/>
                <w:b/>
                <w:sz w:val="28"/>
                <w:szCs w:val="28"/>
              </w:rPr>
              <w:t>：</w:t>
            </w:r>
            <w:r w:rsidR="001801D5" w:rsidRPr="00DB7372">
              <w:rPr>
                <w:rFonts w:ascii="Times New Roman" w:eastAsia="標楷體" w:hAnsi="Times New Roman" w:cs="Times New Roman"/>
                <w:b/>
                <w:sz w:val="28"/>
                <w:szCs w:val="28"/>
              </w:rPr>
              <w:t>許添財</w:t>
            </w:r>
            <w:r w:rsidR="0032791B" w:rsidRPr="00DB7372">
              <w:rPr>
                <w:rFonts w:ascii="Times New Roman" w:eastAsia="標楷體" w:hAnsi="Times New Roman" w:cs="Times New Roman"/>
                <w:b/>
                <w:sz w:val="28"/>
                <w:szCs w:val="28"/>
              </w:rPr>
              <w:t>)</w:t>
            </w:r>
          </w:p>
          <w:p w14:paraId="3CF17E18" w14:textId="31D3BCDC" w:rsidR="00666585" w:rsidRPr="00DB7372" w:rsidRDefault="00325809" w:rsidP="00623BA7">
            <w:pPr>
              <w:adjustRightInd w:val="0"/>
              <w:spacing w:line="440" w:lineRule="exact"/>
              <w:rPr>
                <w:rStyle w:val="a5"/>
                <w:rFonts w:ascii="Times New Roman" w:eastAsia="標楷體" w:hAnsi="Times New Roman" w:cs="Times New Roman"/>
                <w:sz w:val="28"/>
                <w:szCs w:val="28"/>
              </w:rPr>
            </w:pPr>
            <w:r w:rsidRPr="00DB7372">
              <w:rPr>
                <w:rFonts w:ascii="Times New Roman" w:eastAsia="標楷體" w:hAnsi="Times New Roman" w:cs="Times New Roman"/>
                <w:b/>
                <w:sz w:val="28"/>
                <w:szCs w:val="28"/>
              </w:rPr>
              <w:t>新聞聯絡</w:t>
            </w:r>
            <w:r w:rsidR="003A070C" w:rsidRPr="00DB7372">
              <w:rPr>
                <w:rFonts w:ascii="Times New Roman" w:eastAsia="標楷體" w:hAnsi="Times New Roman" w:cs="Times New Roman"/>
                <w:b/>
                <w:sz w:val="28"/>
                <w:szCs w:val="28"/>
              </w:rPr>
              <w:t>人</w:t>
            </w:r>
            <w:r w:rsidR="00775591" w:rsidRPr="00DB7372">
              <w:rPr>
                <w:rFonts w:ascii="Times New Roman" w:eastAsia="標楷體" w:hAnsi="Times New Roman" w:cs="Times New Roman"/>
                <w:b/>
                <w:sz w:val="28"/>
                <w:szCs w:val="28"/>
              </w:rPr>
              <w:t xml:space="preserve"> </w:t>
            </w:r>
            <w:r w:rsidR="00623BA7" w:rsidRPr="00DB7372">
              <w:rPr>
                <w:rFonts w:ascii="Times New Roman" w:eastAsia="標楷體" w:hAnsi="Times New Roman" w:cs="Times New Roman"/>
                <w:b/>
                <w:sz w:val="28"/>
                <w:szCs w:val="28"/>
              </w:rPr>
              <w:t>公關</w:t>
            </w:r>
            <w:r w:rsidRPr="00DB7372">
              <w:rPr>
                <w:rFonts w:ascii="Times New Roman" w:eastAsia="標楷體" w:hAnsi="Times New Roman" w:cs="Times New Roman"/>
                <w:sz w:val="28"/>
                <w:szCs w:val="28"/>
              </w:rPr>
              <w:t xml:space="preserve"> </w:t>
            </w:r>
            <w:r w:rsidRPr="00DB7372">
              <w:rPr>
                <w:rFonts w:ascii="Times New Roman" w:eastAsia="標楷體" w:hAnsi="Times New Roman" w:cs="Times New Roman"/>
                <w:sz w:val="28"/>
                <w:szCs w:val="28"/>
              </w:rPr>
              <w:t>王心怡</w:t>
            </w:r>
            <w:r w:rsidR="00C260C7">
              <w:rPr>
                <w:rFonts w:ascii="Times New Roman" w:eastAsia="標楷體" w:hAnsi="Times New Roman" w:cs="Times New Roman"/>
                <w:sz w:val="28"/>
                <w:szCs w:val="28"/>
              </w:rPr>
              <w:t xml:space="preserve"> 02-7707-4829 / </w:t>
            </w:r>
            <w:bookmarkStart w:id="0" w:name="_GoBack"/>
            <w:bookmarkEnd w:id="0"/>
            <w:r w:rsidR="00D828F4">
              <w:fldChar w:fldCharType="begin"/>
            </w:r>
            <w:r w:rsidR="00D828F4">
              <w:instrText xml:space="preserve"> HYPERLINK "mailto:mandywang@cdri.org.tw" </w:instrText>
            </w:r>
            <w:r w:rsidR="00D828F4">
              <w:fldChar w:fldCharType="separate"/>
            </w:r>
            <w:r w:rsidRPr="00DB7372">
              <w:rPr>
                <w:rStyle w:val="a5"/>
                <w:rFonts w:ascii="Times New Roman" w:eastAsia="標楷體" w:hAnsi="Times New Roman" w:cs="Times New Roman"/>
                <w:sz w:val="28"/>
                <w:szCs w:val="28"/>
              </w:rPr>
              <w:t>mandywang@cdri.org.tw</w:t>
            </w:r>
            <w:r w:rsidR="00D828F4">
              <w:rPr>
                <w:rStyle w:val="a5"/>
                <w:rFonts w:ascii="Times New Roman" w:eastAsia="標楷體" w:hAnsi="Times New Roman" w:cs="Times New Roman"/>
                <w:sz w:val="28"/>
                <w:szCs w:val="28"/>
              </w:rPr>
              <w:fldChar w:fldCharType="end"/>
            </w:r>
          </w:p>
          <w:p w14:paraId="177F2108" w14:textId="77777777" w:rsidR="000F79D3" w:rsidRPr="00DB7372" w:rsidRDefault="000F79D3" w:rsidP="000F79D3">
            <w:pPr>
              <w:tabs>
                <w:tab w:val="left" w:pos="720"/>
              </w:tabs>
              <w:autoSpaceDE w:val="0"/>
              <w:autoSpaceDN w:val="0"/>
              <w:adjustRightInd w:val="0"/>
              <w:spacing w:line="440" w:lineRule="exact"/>
              <w:rPr>
                <w:rFonts w:ascii="Times New Roman" w:eastAsia="標楷體" w:hAnsi="Times New Roman" w:cs="Times New Roman"/>
                <w:color w:val="000000"/>
                <w:kern w:val="0"/>
                <w:sz w:val="28"/>
                <w:szCs w:val="28"/>
                <w:lang w:val="zh-TW"/>
              </w:rPr>
            </w:pPr>
            <w:r w:rsidRPr="00DB7372">
              <w:rPr>
                <w:rStyle w:val="a5"/>
                <w:rFonts w:ascii="Times New Roman" w:eastAsia="標楷體" w:hAnsi="Times New Roman" w:cs="Times New Roman"/>
                <w:b/>
                <w:color w:val="auto"/>
                <w:sz w:val="28"/>
                <w:szCs w:val="28"/>
                <w:u w:val="none"/>
              </w:rPr>
              <w:t xml:space="preserve"> </w:t>
            </w:r>
            <w:r w:rsidR="00623BA7" w:rsidRPr="00DB7372">
              <w:rPr>
                <w:rStyle w:val="a5"/>
                <w:rFonts w:ascii="Times New Roman" w:eastAsia="標楷體" w:hAnsi="Times New Roman" w:cs="Times New Roman"/>
                <w:b/>
                <w:color w:val="auto"/>
                <w:sz w:val="28"/>
                <w:szCs w:val="28"/>
                <w:u w:val="none"/>
              </w:rPr>
              <w:t xml:space="preserve">　　　　　</w:t>
            </w:r>
            <w:r w:rsidR="00666585" w:rsidRPr="00DB7372">
              <w:rPr>
                <w:rStyle w:val="a5"/>
                <w:rFonts w:ascii="Times New Roman" w:eastAsia="標楷體" w:hAnsi="Times New Roman" w:cs="Times New Roman"/>
                <w:b/>
                <w:color w:val="auto"/>
                <w:sz w:val="28"/>
                <w:szCs w:val="28"/>
                <w:u w:val="none"/>
              </w:rPr>
              <w:t>景氣循環預測小組</w:t>
            </w:r>
            <w:r w:rsidR="00206A10" w:rsidRPr="00DB7372">
              <w:rPr>
                <w:rStyle w:val="a5"/>
                <w:rFonts w:ascii="Times New Roman" w:eastAsia="標楷體" w:hAnsi="Times New Roman" w:cs="Times New Roman"/>
                <w:b/>
                <w:color w:val="auto"/>
                <w:sz w:val="28"/>
                <w:szCs w:val="28"/>
                <w:u w:val="none"/>
              </w:rPr>
              <w:t>系統</w:t>
            </w:r>
            <w:r w:rsidR="00C40BA1" w:rsidRPr="00DB7372">
              <w:rPr>
                <w:rStyle w:val="a5"/>
                <w:rFonts w:ascii="Times New Roman" w:eastAsia="標楷體" w:hAnsi="Times New Roman" w:cs="Times New Roman"/>
                <w:b/>
                <w:color w:val="auto"/>
                <w:sz w:val="28"/>
                <w:szCs w:val="28"/>
                <w:u w:val="none"/>
              </w:rPr>
              <w:t>運算</w:t>
            </w:r>
            <w:r w:rsidR="00206A10" w:rsidRPr="00DB7372">
              <w:rPr>
                <w:rStyle w:val="a5"/>
                <w:rFonts w:ascii="Times New Roman" w:eastAsia="標楷體" w:hAnsi="Times New Roman" w:cs="Times New Roman"/>
                <w:b/>
                <w:color w:val="auto"/>
                <w:sz w:val="28"/>
                <w:szCs w:val="28"/>
                <w:u w:val="none"/>
                <w:lang w:eastAsia="zh-CN"/>
              </w:rPr>
              <w:t xml:space="preserve"> </w:t>
            </w:r>
            <w:r w:rsidR="00666585" w:rsidRPr="00DB7372">
              <w:rPr>
                <w:rFonts w:ascii="Times New Roman" w:eastAsia="標楷體" w:hAnsi="Times New Roman" w:cs="Times New Roman"/>
                <w:sz w:val="28"/>
                <w:szCs w:val="28"/>
              </w:rPr>
              <w:t>彭俊能</w:t>
            </w:r>
            <w:r w:rsidR="00666585" w:rsidRPr="00DB7372">
              <w:rPr>
                <w:rFonts w:ascii="Times New Roman" w:eastAsia="標楷體" w:hAnsi="Times New Roman" w:cs="Times New Roman"/>
                <w:sz w:val="28"/>
                <w:szCs w:val="28"/>
              </w:rPr>
              <w:t xml:space="preserve"> </w:t>
            </w:r>
            <w:r w:rsidR="00666585" w:rsidRPr="00DB7372">
              <w:rPr>
                <w:rFonts w:ascii="Times New Roman" w:eastAsia="標楷體" w:hAnsi="Times New Roman" w:cs="Times New Roman"/>
                <w:sz w:val="28"/>
                <w:szCs w:val="28"/>
              </w:rPr>
              <w:t>博士</w:t>
            </w:r>
            <w:r w:rsidR="00666585" w:rsidRPr="00DB7372">
              <w:rPr>
                <w:rFonts w:ascii="Times New Roman" w:eastAsia="標楷體" w:hAnsi="Times New Roman" w:cs="Times New Roman"/>
                <w:sz w:val="28"/>
                <w:szCs w:val="28"/>
              </w:rPr>
              <w:t xml:space="preserve"> 02-7707-4865</w:t>
            </w:r>
          </w:p>
          <w:p w14:paraId="0323003C" w14:textId="77777777" w:rsidR="000F79D3" w:rsidRPr="00DB7372" w:rsidRDefault="000F79D3" w:rsidP="000F79D3">
            <w:pPr>
              <w:tabs>
                <w:tab w:val="left" w:pos="720"/>
              </w:tabs>
              <w:autoSpaceDE w:val="0"/>
              <w:autoSpaceDN w:val="0"/>
              <w:adjustRightInd w:val="0"/>
              <w:spacing w:line="440" w:lineRule="exact"/>
              <w:rPr>
                <w:rFonts w:ascii="Times New Roman" w:eastAsia="標楷體" w:hAnsi="Times New Roman" w:cs="Times New Roman"/>
                <w:color w:val="000000"/>
                <w:kern w:val="0"/>
                <w:sz w:val="28"/>
                <w:szCs w:val="28"/>
                <w:highlight w:val="white"/>
                <w:lang w:val="zh-TW"/>
              </w:rPr>
            </w:pPr>
            <w:r w:rsidRPr="00DB7372">
              <w:rPr>
                <w:rStyle w:val="a5"/>
                <w:rFonts w:ascii="Times New Roman" w:eastAsia="標楷體" w:hAnsi="Times New Roman" w:cs="Times New Roman"/>
                <w:b/>
                <w:color w:val="auto"/>
                <w:sz w:val="28"/>
                <w:szCs w:val="28"/>
                <w:u w:val="none"/>
              </w:rPr>
              <w:t xml:space="preserve"> </w:t>
            </w:r>
            <w:r w:rsidR="00623BA7" w:rsidRPr="00DB7372">
              <w:rPr>
                <w:rStyle w:val="a5"/>
                <w:rFonts w:ascii="Times New Roman" w:eastAsia="標楷體" w:hAnsi="Times New Roman" w:cs="Times New Roman"/>
                <w:b/>
                <w:color w:val="auto"/>
                <w:sz w:val="28"/>
                <w:szCs w:val="28"/>
                <w:u w:val="none"/>
              </w:rPr>
              <w:t xml:space="preserve">　　　　　</w:t>
            </w:r>
            <w:r w:rsidRPr="00DB7372">
              <w:rPr>
                <w:rStyle w:val="a5"/>
                <w:rFonts w:ascii="Times New Roman" w:eastAsia="標楷體" w:hAnsi="Times New Roman" w:cs="Times New Roman"/>
                <w:b/>
                <w:color w:val="auto"/>
                <w:sz w:val="28"/>
                <w:szCs w:val="28"/>
                <w:u w:val="none"/>
              </w:rPr>
              <w:t>景氣循環預測小組</w:t>
            </w:r>
            <w:r w:rsidR="00206A10" w:rsidRPr="00DB7372">
              <w:rPr>
                <w:rStyle w:val="a5"/>
                <w:rFonts w:ascii="Times New Roman" w:eastAsia="標楷體" w:hAnsi="Times New Roman" w:cs="Times New Roman"/>
                <w:b/>
                <w:color w:val="auto"/>
                <w:sz w:val="28"/>
                <w:szCs w:val="28"/>
                <w:u w:val="none"/>
              </w:rPr>
              <w:t>系統</w:t>
            </w:r>
            <w:r w:rsidR="00C40BA1" w:rsidRPr="00DB7372">
              <w:rPr>
                <w:rStyle w:val="a5"/>
                <w:rFonts w:ascii="Times New Roman" w:eastAsia="標楷體" w:hAnsi="Times New Roman" w:cs="Times New Roman"/>
                <w:b/>
                <w:color w:val="auto"/>
                <w:sz w:val="28"/>
                <w:szCs w:val="28"/>
                <w:u w:val="none"/>
              </w:rPr>
              <w:t>運算</w:t>
            </w:r>
            <w:r w:rsidR="00EE7FDE" w:rsidRPr="00DB7372">
              <w:rPr>
                <w:rStyle w:val="a5"/>
                <w:rFonts w:ascii="Times New Roman" w:eastAsia="標楷體" w:hAnsi="Times New Roman" w:cs="Times New Roman"/>
                <w:b/>
                <w:color w:val="auto"/>
                <w:sz w:val="28"/>
                <w:szCs w:val="28"/>
                <w:u w:val="none"/>
                <w:lang w:eastAsia="zh-CN"/>
              </w:rPr>
              <w:t xml:space="preserve"> </w:t>
            </w:r>
            <w:r w:rsidRPr="00DB7372">
              <w:rPr>
                <w:rStyle w:val="a5"/>
                <w:rFonts w:ascii="Times New Roman" w:eastAsia="標楷體" w:hAnsi="Times New Roman" w:cs="Times New Roman"/>
                <w:color w:val="auto"/>
                <w:sz w:val="28"/>
                <w:szCs w:val="28"/>
                <w:u w:val="none"/>
              </w:rPr>
              <w:t>許世璋</w:t>
            </w:r>
            <w:r w:rsidRPr="00DB7372">
              <w:rPr>
                <w:rStyle w:val="a5"/>
                <w:rFonts w:ascii="Times New Roman" w:eastAsia="標楷體" w:hAnsi="Times New Roman" w:cs="Times New Roman"/>
                <w:color w:val="auto"/>
                <w:sz w:val="28"/>
                <w:szCs w:val="28"/>
                <w:u w:val="none"/>
              </w:rPr>
              <w:t xml:space="preserve"> </w:t>
            </w:r>
            <w:r w:rsidRPr="00DB7372">
              <w:rPr>
                <w:rFonts w:ascii="Times New Roman" w:eastAsia="標楷體" w:hAnsi="Times New Roman" w:cs="Times New Roman"/>
                <w:sz w:val="28"/>
                <w:szCs w:val="28"/>
              </w:rPr>
              <w:t>博士</w:t>
            </w:r>
            <w:r w:rsidRPr="00DB7372">
              <w:rPr>
                <w:rFonts w:ascii="Times New Roman" w:eastAsia="標楷體" w:hAnsi="Times New Roman" w:cs="Times New Roman"/>
                <w:sz w:val="28"/>
                <w:szCs w:val="28"/>
              </w:rPr>
              <w:t xml:space="preserve"> 02-7707-48</w:t>
            </w:r>
            <w:r w:rsidR="00623BA7" w:rsidRPr="00DB7372">
              <w:rPr>
                <w:rFonts w:ascii="Times New Roman" w:eastAsia="標楷體" w:hAnsi="Times New Roman" w:cs="Times New Roman"/>
                <w:sz w:val="28"/>
                <w:szCs w:val="28"/>
              </w:rPr>
              <w:t>52</w:t>
            </w:r>
          </w:p>
          <w:p w14:paraId="761BAEB9" w14:textId="77777777" w:rsidR="000F79D3" w:rsidRPr="00DB7372" w:rsidRDefault="000F79D3" w:rsidP="00500C5B">
            <w:pPr>
              <w:spacing w:beforeLines="50" w:before="180" w:afterLines="50" w:after="180"/>
              <w:jc w:val="center"/>
              <w:rPr>
                <w:rFonts w:ascii="Times New Roman" w:eastAsia="標楷體" w:hAnsi="Times New Roman" w:cs="Times New Roman"/>
                <w:b/>
                <w:bCs/>
                <w:sz w:val="48"/>
                <w:szCs w:val="48"/>
                <w:bdr w:val="single" w:sz="4" w:space="0" w:color="auto"/>
                <w:shd w:val="pct15" w:color="auto" w:fill="FFFFFF"/>
                <w:lang w:eastAsia="zh-CN"/>
              </w:rPr>
            </w:pPr>
            <w:r w:rsidRPr="00DB7372">
              <w:rPr>
                <w:rFonts w:ascii="Times New Roman" w:eastAsia="標楷體" w:hAnsi="Times New Roman" w:cs="Times New Roman"/>
                <w:b/>
                <w:bCs/>
                <w:sz w:val="48"/>
                <w:szCs w:val="48"/>
                <w:bdr w:val="single" w:sz="4" w:space="0" w:color="auto"/>
                <w:shd w:val="pct15" w:color="auto" w:fill="FFFFFF"/>
                <w:lang w:eastAsia="zh-CN"/>
              </w:rPr>
              <w:lastRenderedPageBreak/>
              <w:t>附表</w:t>
            </w:r>
          </w:p>
          <w:p w14:paraId="1F0AF1A9" w14:textId="77777777" w:rsidR="000F79D3" w:rsidRPr="00DB7372" w:rsidRDefault="000F79D3" w:rsidP="000F79D3">
            <w:pPr>
              <w:jc w:val="center"/>
              <w:rPr>
                <w:rFonts w:ascii="Times New Roman" w:eastAsia="標楷體" w:hAnsi="Times New Roman" w:cs="Times New Roman"/>
                <w:szCs w:val="24"/>
              </w:rPr>
            </w:pPr>
            <w:r w:rsidRPr="00DB7372">
              <w:rPr>
                <w:rFonts w:ascii="Times New Roman" w:eastAsia="標楷體" w:hAnsi="Times New Roman" w:cs="Times New Roman"/>
                <w:lang w:eastAsia="zh-CN"/>
              </w:rPr>
              <w:t>B</w:t>
            </w:r>
            <w:r w:rsidRPr="00DB7372">
              <w:rPr>
                <w:rFonts w:ascii="Times New Roman" w:eastAsia="標楷體" w:hAnsi="Times New Roman" w:cs="Times New Roman"/>
              </w:rPr>
              <w:t>usiness Cycle Coincident Composite Index for Taiwan Service Sector</w:t>
            </w:r>
          </w:p>
          <w:p w14:paraId="01E59D04" w14:textId="77777777" w:rsidR="000F79D3" w:rsidRPr="00DB7372" w:rsidRDefault="000F79D3" w:rsidP="000F79D3">
            <w:pPr>
              <w:jc w:val="center"/>
              <w:rPr>
                <w:rFonts w:ascii="Times New Roman" w:eastAsia="標楷體" w:hAnsi="Times New Roman" w:cs="Times New Roman"/>
                <w:b/>
                <w:bCs/>
                <w:lang w:eastAsia="zh-CN"/>
              </w:rPr>
            </w:pPr>
            <w:r w:rsidRPr="00DB7372">
              <w:rPr>
                <w:rFonts w:ascii="Times New Roman" w:eastAsia="標楷體" w:hAnsi="Times New Roman" w:cs="Times New Roman"/>
                <w:b/>
                <w:bCs/>
              </w:rPr>
              <w:t>台灣商業服務業景氣循環同行指標綜合指數</w:t>
            </w:r>
          </w:p>
          <w:tbl>
            <w:tblPr>
              <w:tblStyle w:val="ac"/>
              <w:tblW w:w="0" w:type="auto"/>
              <w:jc w:val="center"/>
              <w:tblInd w:w="0" w:type="dxa"/>
              <w:tblLayout w:type="fixed"/>
              <w:tblCellMar>
                <w:left w:w="0" w:type="dxa"/>
                <w:right w:w="0" w:type="dxa"/>
              </w:tblCellMar>
              <w:tblLook w:val="04A0" w:firstRow="1" w:lastRow="0" w:firstColumn="1" w:lastColumn="0" w:noHBand="0" w:noVBand="1"/>
            </w:tblPr>
            <w:tblGrid>
              <w:gridCol w:w="846"/>
              <w:gridCol w:w="283"/>
              <w:gridCol w:w="284"/>
              <w:gridCol w:w="146"/>
              <w:gridCol w:w="1933"/>
              <w:gridCol w:w="619"/>
              <w:gridCol w:w="3124"/>
            </w:tblGrid>
            <w:tr w:rsidR="000F79D3" w:rsidRPr="00DB7372" w14:paraId="0AB9DC13" w14:textId="77777777" w:rsidTr="008123C9">
              <w:trPr>
                <w:jc w:val="center"/>
              </w:trPr>
              <w:tc>
                <w:tcPr>
                  <w:tcW w:w="1559" w:type="dxa"/>
                  <w:gridSpan w:val="4"/>
                  <w:tcBorders>
                    <w:top w:val="single" w:sz="4" w:space="0" w:color="auto"/>
                    <w:left w:val="single" w:sz="4" w:space="0" w:color="auto"/>
                    <w:bottom w:val="single" w:sz="4" w:space="0" w:color="auto"/>
                    <w:right w:val="single" w:sz="4" w:space="0" w:color="auto"/>
                  </w:tcBorders>
                  <w:hideMark/>
                </w:tcPr>
                <w:p w14:paraId="60C553E7"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年</w:t>
                  </w:r>
                  <w:r w:rsidRPr="00DB7372">
                    <w:rPr>
                      <w:rFonts w:ascii="Times New Roman" w:eastAsia="標楷體" w:hAnsi="Times New Roman" w:cs="Times New Roman"/>
                    </w:rPr>
                    <w:t>/</w:t>
                  </w:r>
                  <w:r w:rsidRPr="00DB7372">
                    <w:rPr>
                      <w:rFonts w:ascii="Times New Roman" w:eastAsia="標楷體" w:hAnsi="Times New Roman" w:cs="Times New Roman"/>
                    </w:rPr>
                    <w:t>月</w:t>
                  </w:r>
                </w:p>
              </w:tc>
              <w:tc>
                <w:tcPr>
                  <w:tcW w:w="2552" w:type="dxa"/>
                  <w:gridSpan w:val="2"/>
                  <w:tcBorders>
                    <w:top w:val="single" w:sz="4" w:space="0" w:color="auto"/>
                    <w:left w:val="single" w:sz="4" w:space="0" w:color="auto"/>
                    <w:bottom w:val="single" w:sz="4" w:space="0" w:color="auto"/>
                    <w:right w:val="single" w:sz="4" w:space="0" w:color="auto"/>
                  </w:tcBorders>
                  <w:hideMark/>
                </w:tcPr>
                <w:p w14:paraId="0D30C0A1"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循環指數</w:t>
                  </w:r>
                  <w:r w:rsidRPr="00DB7372">
                    <w:rPr>
                      <w:rFonts w:ascii="Times New Roman" w:eastAsia="標楷體" w:hAnsi="Times New Roman" w:cs="Times New Roman"/>
                    </w:rPr>
                    <w:t>(</w:t>
                  </w:r>
                  <w:r w:rsidRPr="00DB7372">
                    <w:rPr>
                      <w:rFonts w:ascii="Times New Roman" w:eastAsia="標楷體" w:hAnsi="Times New Roman" w:cs="Times New Roman"/>
                    </w:rPr>
                    <w:t>趨勢值</w:t>
                  </w:r>
                  <w:r w:rsidRPr="00DB7372">
                    <w:rPr>
                      <w:rFonts w:ascii="Times New Roman" w:eastAsia="標楷體" w:hAnsi="Times New Roman" w:cs="Times New Roman"/>
                    </w:rPr>
                    <w:t>=100)</w:t>
                  </w:r>
                </w:p>
              </w:tc>
              <w:tc>
                <w:tcPr>
                  <w:tcW w:w="3124" w:type="dxa"/>
                  <w:tcBorders>
                    <w:top w:val="single" w:sz="4" w:space="0" w:color="auto"/>
                    <w:left w:val="single" w:sz="4" w:space="0" w:color="auto"/>
                    <w:bottom w:val="single" w:sz="4" w:space="0" w:color="auto"/>
                    <w:right w:val="single" w:sz="4" w:space="0" w:color="auto"/>
                  </w:tcBorders>
                  <w:hideMark/>
                </w:tcPr>
                <w:p w14:paraId="225AA6B3"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備</w:t>
                  </w:r>
                  <w:r w:rsidRPr="00DB7372">
                    <w:rPr>
                      <w:rFonts w:ascii="Times New Roman" w:eastAsia="標楷體" w:hAnsi="Times New Roman" w:cs="Times New Roman"/>
                    </w:rPr>
                    <w:t xml:space="preserve">    </w:t>
                  </w:r>
                  <w:r w:rsidRPr="00DB7372">
                    <w:rPr>
                      <w:rFonts w:ascii="Times New Roman" w:eastAsia="標楷體" w:hAnsi="Times New Roman" w:cs="Times New Roman"/>
                    </w:rPr>
                    <w:t>註</w:t>
                  </w:r>
                </w:p>
              </w:tc>
            </w:tr>
            <w:tr w:rsidR="00762445" w:rsidRPr="00DB7372" w14:paraId="047AD1FC" w14:textId="77777777" w:rsidTr="00337BF1">
              <w:trPr>
                <w:trHeight w:val="301"/>
                <w:jc w:val="center"/>
              </w:trPr>
              <w:tc>
                <w:tcPr>
                  <w:tcW w:w="1559" w:type="dxa"/>
                  <w:gridSpan w:val="4"/>
                  <w:tcBorders>
                    <w:top w:val="single" w:sz="4" w:space="0" w:color="auto"/>
                    <w:left w:val="single" w:sz="4" w:space="0" w:color="auto"/>
                    <w:bottom w:val="nil"/>
                    <w:right w:val="single" w:sz="4" w:space="0" w:color="auto"/>
                  </w:tcBorders>
                </w:tcPr>
                <w:p w14:paraId="173C7D7A"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w:t>
                  </w:r>
                  <w:r w:rsidRPr="00DB7372">
                    <w:rPr>
                      <w:rFonts w:ascii="Times New Roman" w:eastAsia="標楷體" w:hAnsi="Times New Roman" w:cs="Times New Roman"/>
                      <w:lang w:eastAsia="zh-TW"/>
                    </w:rPr>
                    <w:t>1</w:t>
                  </w:r>
                  <w:r w:rsidR="008123C9" w:rsidRPr="00DB7372">
                    <w:rPr>
                      <w:rFonts w:ascii="Times New Roman" w:eastAsia="標楷體" w:hAnsi="Times New Roman" w:cs="Times New Roman"/>
                      <w:lang w:eastAsia="zh-TW"/>
                    </w:rPr>
                    <w:t>1</w:t>
                  </w:r>
                </w:p>
              </w:tc>
              <w:tc>
                <w:tcPr>
                  <w:tcW w:w="1933" w:type="dxa"/>
                  <w:tcBorders>
                    <w:top w:val="single" w:sz="4" w:space="0" w:color="auto"/>
                    <w:left w:val="single" w:sz="4" w:space="0" w:color="auto"/>
                    <w:bottom w:val="nil"/>
                    <w:right w:val="nil"/>
                  </w:tcBorders>
                  <w:vAlign w:val="center"/>
                  <w:hideMark/>
                </w:tcPr>
                <w:p w14:paraId="06A66A1F"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w:t>
                  </w:r>
                  <w:r w:rsidR="00337BF1" w:rsidRPr="00DB7372">
                    <w:rPr>
                      <w:rFonts w:ascii="Times New Roman" w:eastAsia="標楷體" w:hAnsi="Times New Roman" w:cs="Times New Roman"/>
                    </w:rPr>
                    <w:t>0842</w:t>
                  </w:r>
                </w:p>
              </w:tc>
              <w:tc>
                <w:tcPr>
                  <w:tcW w:w="619" w:type="dxa"/>
                  <w:tcBorders>
                    <w:top w:val="single" w:sz="4" w:space="0" w:color="auto"/>
                    <w:left w:val="nil"/>
                    <w:bottom w:val="nil"/>
                    <w:right w:val="single" w:sz="4" w:space="0" w:color="auto"/>
                  </w:tcBorders>
                  <w:hideMark/>
                </w:tcPr>
                <w:p w14:paraId="3941CE9A"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tcBorders>
                    <w:top w:val="single" w:sz="4" w:space="0" w:color="auto"/>
                    <w:left w:val="single" w:sz="4" w:space="0" w:color="auto"/>
                    <w:bottom w:val="nil"/>
                    <w:right w:val="single" w:sz="4" w:space="0" w:color="auto"/>
                  </w:tcBorders>
                  <w:tcMar>
                    <w:top w:w="0" w:type="dxa"/>
                    <w:left w:w="85" w:type="dxa"/>
                    <w:bottom w:w="0" w:type="dxa"/>
                    <w:right w:w="85" w:type="dxa"/>
                  </w:tcMar>
                  <w:hideMark/>
                </w:tcPr>
                <w:p w14:paraId="2C9FAB49"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以</w:t>
                  </w:r>
                  <w:r w:rsidRPr="00DB7372">
                    <w:rPr>
                      <w:rFonts w:ascii="Times New Roman" w:eastAsia="標楷體" w:hAnsi="Times New Roman" w:cs="Times New Roman"/>
                    </w:rPr>
                    <w:t>2018/</w:t>
                  </w:r>
                  <w:r w:rsidR="00637EFF" w:rsidRPr="00DB7372">
                    <w:rPr>
                      <w:rFonts w:ascii="Times New Roman" w:eastAsia="標楷體" w:hAnsi="Times New Roman" w:cs="Times New Roman"/>
                    </w:rPr>
                    <w:t>4</w:t>
                  </w:r>
                  <w:r w:rsidR="008123C9" w:rsidRPr="00DB7372">
                    <w:rPr>
                      <w:rFonts w:ascii="Times New Roman" w:eastAsia="標楷體" w:hAnsi="Times New Roman" w:cs="Times New Roman"/>
                      <w:lang w:eastAsia="zh-TW"/>
                    </w:rPr>
                    <w:t>~5</w:t>
                  </w:r>
                  <w:r w:rsidRPr="00DB7372">
                    <w:rPr>
                      <w:rFonts w:ascii="Times New Roman" w:eastAsia="標楷體" w:hAnsi="Times New Roman" w:cs="Times New Roman"/>
                    </w:rPr>
                    <w:t>領先指數推估</w:t>
                  </w:r>
                </w:p>
              </w:tc>
            </w:tr>
            <w:tr w:rsidR="00762445" w:rsidRPr="00DB7372" w14:paraId="70B26E41" w14:textId="77777777" w:rsidTr="00337BF1">
              <w:trPr>
                <w:trHeight w:val="300"/>
                <w:jc w:val="center"/>
              </w:trPr>
              <w:tc>
                <w:tcPr>
                  <w:tcW w:w="1559" w:type="dxa"/>
                  <w:gridSpan w:val="4"/>
                  <w:tcBorders>
                    <w:top w:val="nil"/>
                    <w:left w:val="single" w:sz="4" w:space="0" w:color="auto"/>
                    <w:bottom w:val="single" w:sz="4" w:space="0" w:color="auto"/>
                    <w:right w:val="single" w:sz="4" w:space="0" w:color="auto"/>
                  </w:tcBorders>
                </w:tcPr>
                <w:p w14:paraId="76D66871"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w:t>
                  </w:r>
                  <w:r w:rsidR="008123C9" w:rsidRPr="00DB7372">
                    <w:rPr>
                      <w:rFonts w:ascii="Times New Roman" w:eastAsia="標楷體" w:hAnsi="Times New Roman" w:cs="Times New Roman"/>
                    </w:rPr>
                    <w:t>10</w:t>
                  </w:r>
                </w:p>
              </w:tc>
              <w:tc>
                <w:tcPr>
                  <w:tcW w:w="1933" w:type="dxa"/>
                  <w:tcBorders>
                    <w:top w:val="nil"/>
                    <w:left w:val="single" w:sz="4" w:space="0" w:color="auto"/>
                    <w:bottom w:val="single" w:sz="4" w:space="0" w:color="auto"/>
                    <w:right w:val="nil"/>
                  </w:tcBorders>
                  <w:vAlign w:val="center"/>
                </w:tcPr>
                <w:p w14:paraId="1A71A439"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100.1</w:t>
                  </w:r>
                  <w:r w:rsidR="00337BF1" w:rsidRPr="00DB7372">
                    <w:rPr>
                      <w:rFonts w:ascii="Times New Roman" w:eastAsia="標楷體" w:hAnsi="Times New Roman" w:cs="Times New Roman"/>
                    </w:rPr>
                    <w:t>796</w:t>
                  </w:r>
                </w:p>
              </w:tc>
              <w:tc>
                <w:tcPr>
                  <w:tcW w:w="619" w:type="dxa"/>
                  <w:tcBorders>
                    <w:top w:val="nil"/>
                    <w:left w:val="nil"/>
                    <w:bottom w:val="single" w:sz="4" w:space="0" w:color="auto"/>
                    <w:right w:val="single" w:sz="4" w:space="0" w:color="auto"/>
                  </w:tcBorders>
                </w:tcPr>
                <w:p w14:paraId="14B5EB36"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8123C9"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tcBorders>
                    <w:top w:val="nil"/>
                    <w:left w:val="single" w:sz="4" w:space="0" w:color="auto"/>
                    <w:bottom w:val="single" w:sz="4" w:space="0" w:color="auto"/>
                    <w:right w:val="single" w:sz="4" w:space="0" w:color="auto"/>
                  </w:tcBorders>
                  <w:tcMar>
                    <w:top w:w="0" w:type="dxa"/>
                    <w:left w:w="85" w:type="dxa"/>
                    <w:bottom w:w="0" w:type="dxa"/>
                    <w:right w:w="85" w:type="dxa"/>
                  </w:tcMar>
                  <w:vAlign w:val="center"/>
                </w:tcPr>
                <w:p w14:paraId="220D3B8E" w14:textId="77777777" w:rsidR="00762445" w:rsidRPr="00DB7372" w:rsidRDefault="00762445" w:rsidP="00C260C7">
                  <w:pPr>
                    <w:framePr w:hSpace="180" w:wrap="around" w:vAnchor="text" w:hAnchor="margin" w:xAlign="center" w:y="-35"/>
                    <w:jc w:val="both"/>
                    <w:rPr>
                      <w:rFonts w:ascii="Times New Roman" w:eastAsia="標楷體" w:hAnsi="Times New Roman" w:cs="Times New Roman"/>
                    </w:rPr>
                  </w:pPr>
                </w:p>
              </w:tc>
            </w:tr>
            <w:tr w:rsidR="008123C9" w:rsidRPr="00DB7372" w14:paraId="3C4328FC" w14:textId="77777777" w:rsidTr="00337BF1">
              <w:trPr>
                <w:jc w:val="center"/>
              </w:trPr>
              <w:tc>
                <w:tcPr>
                  <w:tcW w:w="1559" w:type="dxa"/>
                  <w:gridSpan w:val="4"/>
                  <w:tcBorders>
                    <w:top w:val="single" w:sz="4" w:space="0" w:color="auto"/>
                    <w:left w:val="single" w:sz="4" w:space="0" w:color="auto"/>
                    <w:bottom w:val="nil"/>
                    <w:right w:val="single" w:sz="4" w:space="0" w:color="auto"/>
                  </w:tcBorders>
                </w:tcPr>
                <w:p w14:paraId="083CB23F"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2018-9</w:t>
                  </w:r>
                </w:p>
              </w:tc>
              <w:tc>
                <w:tcPr>
                  <w:tcW w:w="1933" w:type="dxa"/>
                  <w:tcBorders>
                    <w:top w:val="single" w:sz="4" w:space="0" w:color="auto"/>
                    <w:left w:val="single" w:sz="4" w:space="0" w:color="auto"/>
                    <w:bottom w:val="nil"/>
                    <w:right w:val="nil"/>
                  </w:tcBorders>
                  <w:vAlign w:val="center"/>
                  <w:hideMark/>
                </w:tcPr>
                <w:p w14:paraId="1B8ECD77"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w:t>
                  </w:r>
                  <w:r w:rsidR="00337BF1" w:rsidRPr="00DB7372">
                    <w:rPr>
                      <w:rFonts w:ascii="Times New Roman" w:eastAsia="標楷體" w:hAnsi="Times New Roman" w:cs="Times New Roman"/>
                    </w:rPr>
                    <w:t>2289</w:t>
                  </w:r>
                </w:p>
              </w:tc>
              <w:tc>
                <w:tcPr>
                  <w:tcW w:w="619" w:type="dxa"/>
                  <w:tcBorders>
                    <w:top w:val="single" w:sz="4" w:space="0" w:color="auto"/>
                    <w:left w:val="nil"/>
                    <w:bottom w:val="nil"/>
                    <w:right w:val="single" w:sz="4" w:space="0" w:color="auto"/>
                  </w:tcBorders>
                  <w:hideMark/>
                </w:tcPr>
                <w:p w14:paraId="506D1902"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337BF1" w:rsidRPr="00DB7372">
                    <w:rPr>
                      <w:rFonts w:ascii="Times New Roman" w:eastAsia="標楷體" w:hAnsi="Times New Roman" w:cs="Times New Roman"/>
                      <w:lang w:eastAsia="zh-TW"/>
                    </w:rPr>
                    <w:t>p</w:t>
                  </w:r>
                  <w:r w:rsidRPr="00DB7372">
                    <w:rPr>
                      <w:rFonts w:ascii="Times New Roman" w:eastAsia="標楷體" w:hAnsi="Times New Roman" w:cs="Times New Roman"/>
                    </w:rPr>
                    <w:t>）</w:t>
                  </w:r>
                </w:p>
              </w:tc>
              <w:tc>
                <w:tcPr>
                  <w:tcW w:w="3124" w:type="dxa"/>
                  <w:vMerge w:val="restart"/>
                  <w:tcBorders>
                    <w:left w:val="single" w:sz="4" w:space="0" w:color="auto"/>
                    <w:right w:val="single" w:sz="4" w:space="0" w:color="auto"/>
                  </w:tcBorders>
                  <w:tcMar>
                    <w:left w:w="85" w:type="dxa"/>
                    <w:right w:w="85" w:type="dxa"/>
                  </w:tcMar>
                </w:tcPr>
                <w:p w14:paraId="04654636" w14:textId="77777777" w:rsidR="008123C9" w:rsidRPr="00DB7372" w:rsidRDefault="008123C9" w:rsidP="00C260C7">
                  <w:pPr>
                    <w:framePr w:hSpace="180" w:wrap="around" w:vAnchor="text" w:hAnchor="margin" w:xAlign="center" w:y="-35"/>
                    <w:jc w:val="both"/>
                    <w:rPr>
                      <w:rFonts w:ascii="Times New Roman" w:eastAsia="標楷體" w:hAnsi="Times New Roman" w:cs="Times New Roman"/>
                      <w:lang w:val="en-GB"/>
                    </w:rPr>
                  </w:pPr>
                  <w:r w:rsidRPr="00DB7372">
                    <w:rPr>
                      <w:rFonts w:ascii="Times New Roman" w:eastAsia="標楷體" w:hAnsi="Times New Roman" w:cs="Times New Roman"/>
                    </w:rPr>
                    <w:t>以領先指標綜合指數所預測的同行指標綜合指數</w:t>
                  </w:r>
                </w:p>
              </w:tc>
            </w:tr>
            <w:tr w:rsidR="008123C9" w:rsidRPr="00DB7372" w14:paraId="7A801344" w14:textId="77777777" w:rsidTr="001860E8">
              <w:trPr>
                <w:jc w:val="center"/>
              </w:trPr>
              <w:tc>
                <w:tcPr>
                  <w:tcW w:w="1559" w:type="dxa"/>
                  <w:gridSpan w:val="4"/>
                  <w:tcBorders>
                    <w:top w:val="nil"/>
                    <w:left w:val="single" w:sz="4" w:space="0" w:color="auto"/>
                    <w:bottom w:val="nil"/>
                    <w:right w:val="single" w:sz="4" w:space="0" w:color="auto"/>
                  </w:tcBorders>
                </w:tcPr>
                <w:p w14:paraId="77881B31"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2018-8</w:t>
                  </w:r>
                </w:p>
              </w:tc>
              <w:tc>
                <w:tcPr>
                  <w:tcW w:w="1933" w:type="dxa"/>
                  <w:tcBorders>
                    <w:top w:val="nil"/>
                    <w:left w:val="single" w:sz="4" w:space="0" w:color="auto"/>
                    <w:bottom w:val="nil"/>
                    <w:right w:val="nil"/>
                  </w:tcBorders>
                  <w:vAlign w:val="center"/>
                  <w:hideMark/>
                </w:tcPr>
                <w:p w14:paraId="3B882A3A"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w:t>
                  </w:r>
                  <w:r w:rsidR="00337BF1" w:rsidRPr="00DB7372">
                    <w:rPr>
                      <w:rFonts w:ascii="Times New Roman" w:eastAsia="標楷體" w:hAnsi="Times New Roman" w:cs="Times New Roman"/>
                    </w:rPr>
                    <w:t>2032</w:t>
                  </w:r>
                </w:p>
              </w:tc>
              <w:tc>
                <w:tcPr>
                  <w:tcW w:w="619" w:type="dxa"/>
                  <w:tcBorders>
                    <w:top w:val="nil"/>
                    <w:left w:val="nil"/>
                    <w:bottom w:val="nil"/>
                    <w:right w:val="single" w:sz="4" w:space="0" w:color="auto"/>
                  </w:tcBorders>
                  <w:hideMark/>
                </w:tcPr>
                <w:p w14:paraId="71C8BD9F"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337BF1"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vMerge/>
                  <w:tcBorders>
                    <w:left w:val="single" w:sz="4" w:space="0" w:color="auto"/>
                    <w:right w:val="single" w:sz="4" w:space="0" w:color="auto"/>
                  </w:tcBorders>
                  <w:hideMark/>
                </w:tcPr>
                <w:p w14:paraId="3D1F72B3" w14:textId="77777777" w:rsidR="008123C9" w:rsidRPr="00DB7372" w:rsidRDefault="008123C9" w:rsidP="00C260C7">
                  <w:pPr>
                    <w:framePr w:hSpace="180" w:wrap="around" w:vAnchor="text" w:hAnchor="margin" w:xAlign="center" w:y="-35"/>
                    <w:jc w:val="both"/>
                    <w:rPr>
                      <w:rFonts w:ascii="Times New Roman" w:eastAsia="標楷體" w:hAnsi="Times New Roman" w:cs="Times New Roman"/>
                      <w:lang w:val="en-GB"/>
                    </w:rPr>
                  </w:pPr>
                </w:p>
              </w:tc>
            </w:tr>
            <w:tr w:rsidR="008123C9" w:rsidRPr="00DB7372" w14:paraId="330C3D80" w14:textId="77777777" w:rsidTr="001860E8">
              <w:trPr>
                <w:jc w:val="center"/>
              </w:trPr>
              <w:tc>
                <w:tcPr>
                  <w:tcW w:w="1559" w:type="dxa"/>
                  <w:gridSpan w:val="4"/>
                  <w:tcBorders>
                    <w:top w:val="nil"/>
                    <w:left w:val="single" w:sz="4" w:space="0" w:color="auto"/>
                    <w:bottom w:val="nil"/>
                    <w:right w:val="single" w:sz="4" w:space="0" w:color="auto"/>
                  </w:tcBorders>
                </w:tcPr>
                <w:p w14:paraId="1E701A88"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2018-7</w:t>
                  </w:r>
                </w:p>
              </w:tc>
              <w:tc>
                <w:tcPr>
                  <w:tcW w:w="1933" w:type="dxa"/>
                  <w:tcBorders>
                    <w:top w:val="nil"/>
                    <w:left w:val="single" w:sz="4" w:space="0" w:color="auto"/>
                    <w:bottom w:val="nil"/>
                    <w:right w:val="nil"/>
                  </w:tcBorders>
                  <w:vAlign w:val="center"/>
                  <w:hideMark/>
                </w:tcPr>
                <w:p w14:paraId="4DB68C93"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100.1</w:t>
                  </w:r>
                  <w:r w:rsidR="00337BF1" w:rsidRPr="00DB7372">
                    <w:rPr>
                      <w:rFonts w:ascii="Times New Roman" w:eastAsia="標楷體" w:hAnsi="Times New Roman" w:cs="Times New Roman"/>
                    </w:rPr>
                    <w:t>657</w:t>
                  </w:r>
                </w:p>
              </w:tc>
              <w:tc>
                <w:tcPr>
                  <w:tcW w:w="619" w:type="dxa"/>
                  <w:tcBorders>
                    <w:top w:val="nil"/>
                    <w:left w:val="nil"/>
                    <w:bottom w:val="nil"/>
                    <w:right w:val="single" w:sz="4" w:space="0" w:color="auto"/>
                  </w:tcBorders>
                  <w:hideMark/>
                </w:tcPr>
                <w:p w14:paraId="6F3BD3F1"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337BF1"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vMerge/>
                  <w:tcBorders>
                    <w:left w:val="single" w:sz="4" w:space="0" w:color="auto"/>
                    <w:right w:val="single" w:sz="4" w:space="0" w:color="auto"/>
                  </w:tcBorders>
                  <w:vAlign w:val="center"/>
                  <w:hideMark/>
                </w:tcPr>
                <w:p w14:paraId="653EBE02" w14:textId="77777777" w:rsidR="008123C9" w:rsidRPr="00DB7372" w:rsidRDefault="008123C9" w:rsidP="00C260C7">
                  <w:pPr>
                    <w:framePr w:hSpace="180" w:wrap="around" w:vAnchor="text" w:hAnchor="margin" w:xAlign="center" w:y="-35"/>
                    <w:rPr>
                      <w:rFonts w:ascii="Times New Roman" w:eastAsia="標楷體" w:hAnsi="Times New Roman" w:cs="Times New Roman"/>
                      <w:lang w:val="en-GB"/>
                    </w:rPr>
                  </w:pPr>
                </w:p>
              </w:tc>
            </w:tr>
            <w:tr w:rsidR="008123C9" w:rsidRPr="00DB7372" w14:paraId="04772DFE" w14:textId="77777777" w:rsidTr="001860E8">
              <w:trPr>
                <w:jc w:val="center"/>
              </w:trPr>
              <w:tc>
                <w:tcPr>
                  <w:tcW w:w="1559" w:type="dxa"/>
                  <w:gridSpan w:val="4"/>
                  <w:tcBorders>
                    <w:top w:val="nil"/>
                    <w:left w:val="single" w:sz="4" w:space="0" w:color="auto"/>
                    <w:bottom w:val="nil"/>
                    <w:right w:val="single" w:sz="4" w:space="0" w:color="auto"/>
                  </w:tcBorders>
                </w:tcPr>
                <w:p w14:paraId="77A02B1E"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2018-6</w:t>
                  </w:r>
                </w:p>
              </w:tc>
              <w:tc>
                <w:tcPr>
                  <w:tcW w:w="1933" w:type="dxa"/>
                  <w:tcBorders>
                    <w:top w:val="nil"/>
                    <w:left w:val="single" w:sz="4" w:space="0" w:color="auto"/>
                    <w:bottom w:val="nil"/>
                    <w:right w:val="nil"/>
                  </w:tcBorders>
                  <w:vAlign w:val="center"/>
                  <w:hideMark/>
                </w:tcPr>
                <w:p w14:paraId="56A31303"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w:t>
                  </w:r>
                  <w:r w:rsidR="00337BF1" w:rsidRPr="00DB7372">
                    <w:rPr>
                      <w:rFonts w:ascii="Times New Roman" w:eastAsia="標楷體" w:hAnsi="Times New Roman" w:cs="Times New Roman"/>
                    </w:rPr>
                    <w:t>1244</w:t>
                  </w:r>
                </w:p>
              </w:tc>
              <w:tc>
                <w:tcPr>
                  <w:tcW w:w="619" w:type="dxa"/>
                  <w:tcBorders>
                    <w:top w:val="nil"/>
                    <w:left w:val="nil"/>
                    <w:bottom w:val="nil"/>
                    <w:right w:val="single" w:sz="4" w:space="0" w:color="auto"/>
                  </w:tcBorders>
                  <w:hideMark/>
                </w:tcPr>
                <w:p w14:paraId="491D3055"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337BF1"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vMerge/>
                  <w:tcBorders>
                    <w:left w:val="single" w:sz="4" w:space="0" w:color="auto"/>
                    <w:right w:val="single" w:sz="4" w:space="0" w:color="auto"/>
                  </w:tcBorders>
                  <w:vAlign w:val="center"/>
                  <w:hideMark/>
                </w:tcPr>
                <w:p w14:paraId="7FD40956" w14:textId="77777777" w:rsidR="008123C9" w:rsidRPr="00DB7372" w:rsidRDefault="008123C9" w:rsidP="00C260C7">
                  <w:pPr>
                    <w:framePr w:hSpace="180" w:wrap="around" w:vAnchor="text" w:hAnchor="margin" w:xAlign="center" w:y="-35"/>
                    <w:rPr>
                      <w:rFonts w:ascii="Times New Roman" w:eastAsia="標楷體" w:hAnsi="Times New Roman" w:cs="Times New Roman"/>
                      <w:lang w:val="en-GB"/>
                    </w:rPr>
                  </w:pPr>
                </w:p>
              </w:tc>
            </w:tr>
            <w:tr w:rsidR="008123C9" w:rsidRPr="00DB7372" w14:paraId="650C4CFD" w14:textId="77777777" w:rsidTr="008123C9">
              <w:trPr>
                <w:jc w:val="center"/>
              </w:trPr>
              <w:tc>
                <w:tcPr>
                  <w:tcW w:w="1559" w:type="dxa"/>
                  <w:gridSpan w:val="4"/>
                  <w:tcBorders>
                    <w:top w:val="nil"/>
                    <w:left w:val="single" w:sz="4" w:space="0" w:color="auto"/>
                    <w:bottom w:val="single" w:sz="4" w:space="0" w:color="auto"/>
                    <w:right w:val="single" w:sz="4" w:space="0" w:color="auto"/>
                  </w:tcBorders>
                </w:tcPr>
                <w:p w14:paraId="6B2C2597"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2018-5</w:t>
                  </w:r>
                </w:p>
              </w:tc>
              <w:tc>
                <w:tcPr>
                  <w:tcW w:w="1933" w:type="dxa"/>
                  <w:tcBorders>
                    <w:top w:val="nil"/>
                    <w:left w:val="single" w:sz="4" w:space="0" w:color="auto"/>
                    <w:bottom w:val="single" w:sz="4" w:space="0" w:color="auto"/>
                    <w:right w:val="nil"/>
                  </w:tcBorders>
                  <w:vAlign w:val="center"/>
                  <w:hideMark/>
                </w:tcPr>
                <w:p w14:paraId="17AAF42A"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100.0</w:t>
                  </w:r>
                  <w:r w:rsidR="00337BF1" w:rsidRPr="00DB7372">
                    <w:rPr>
                      <w:rFonts w:ascii="Times New Roman" w:eastAsia="標楷體" w:hAnsi="Times New Roman" w:cs="Times New Roman"/>
                    </w:rPr>
                    <w:t>817</w:t>
                  </w:r>
                </w:p>
              </w:tc>
              <w:tc>
                <w:tcPr>
                  <w:tcW w:w="619" w:type="dxa"/>
                  <w:tcBorders>
                    <w:top w:val="nil"/>
                    <w:left w:val="nil"/>
                    <w:bottom w:val="single" w:sz="4" w:space="0" w:color="auto"/>
                    <w:right w:val="single" w:sz="4" w:space="0" w:color="auto"/>
                  </w:tcBorders>
                  <w:hideMark/>
                </w:tcPr>
                <w:p w14:paraId="1465AEBA" w14:textId="77777777" w:rsidR="008123C9" w:rsidRPr="00DB7372" w:rsidRDefault="008123C9"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337BF1" w:rsidRPr="00DB7372">
                    <w:rPr>
                      <w:rFonts w:ascii="Times New Roman" w:eastAsia="標楷體" w:hAnsi="Times New Roman" w:cs="Times New Roman"/>
                    </w:rPr>
                    <w:t>p</w:t>
                  </w:r>
                  <w:r w:rsidRPr="00DB7372">
                    <w:rPr>
                      <w:rFonts w:ascii="Times New Roman" w:eastAsia="標楷體" w:hAnsi="Times New Roman" w:cs="Times New Roman"/>
                    </w:rPr>
                    <w:t>）</w:t>
                  </w:r>
                </w:p>
              </w:tc>
              <w:tc>
                <w:tcPr>
                  <w:tcW w:w="3124" w:type="dxa"/>
                  <w:vMerge/>
                  <w:tcBorders>
                    <w:left w:val="single" w:sz="4" w:space="0" w:color="auto"/>
                    <w:bottom w:val="single" w:sz="4" w:space="0" w:color="auto"/>
                    <w:right w:val="single" w:sz="4" w:space="0" w:color="auto"/>
                  </w:tcBorders>
                  <w:vAlign w:val="center"/>
                  <w:hideMark/>
                </w:tcPr>
                <w:p w14:paraId="1BECC347" w14:textId="77777777" w:rsidR="008123C9" w:rsidRPr="00DB7372" w:rsidRDefault="008123C9" w:rsidP="00C260C7">
                  <w:pPr>
                    <w:framePr w:hSpace="180" w:wrap="around" w:vAnchor="text" w:hAnchor="margin" w:xAlign="center" w:y="-35"/>
                    <w:rPr>
                      <w:rFonts w:ascii="Times New Roman" w:eastAsia="標楷體" w:hAnsi="Times New Roman" w:cs="Times New Roman"/>
                      <w:lang w:val="en-GB"/>
                    </w:rPr>
                  </w:pPr>
                </w:p>
              </w:tc>
            </w:tr>
            <w:tr w:rsidR="00762445" w:rsidRPr="00DB7372" w14:paraId="474A9E99" w14:textId="77777777" w:rsidTr="008123C9">
              <w:trPr>
                <w:jc w:val="center"/>
              </w:trPr>
              <w:tc>
                <w:tcPr>
                  <w:tcW w:w="1559" w:type="dxa"/>
                  <w:gridSpan w:val="4"/>
                  <w:tcBorders>
                    <w:top w:val="single" w:sz="4" w:space="0" w:color="auto"/>
                    <w:left w:val="single" w:sz="4" w:space="0" w:color="auto"/>
                    <w:bottom w:val="nil"/>
                    <w:right w:val="single" w:sz="4" w:space="0" w:color="auto"/>
                  </w:tcBorders>
                </w:tcPr>
                <w:p w14:paraId="23F269B7"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w:t>
                  </w:r>
                  <w:r w:rsidR="008123C9" w:rsidRPr="00DB7372">
                    <w:rPr>
                      <w:rFonts w:ascii="Times New Roman" w:eastAsia="標楷體" w:hAnsi="Times New Roman" w:cs="Times New Roman"/>
                    </w:rPr>
                    <w:t>4</w:t>
                  </w:r>
                </w:p>
              </w:tc>
              <w:tc>
                <w:tcPr>
                  <w:tcW w:w="1933" w:type="dxa"/>
                  <w:tcBorders>
                    <w:top w:val="single" w:sz="4" w:space="0" w:color="auto"/>
                    <w:left w:val="single" w:sz="4" w:space="0" w:color="auto"/>
                    <w:bottom w:val="nil"/>
                    <w:right w:val="nil"/>
                  </w:tcBorders>
                  <w:vAlign w:val="center"/>
                  <w:hideMark/>
                </w:tcPr>
                <w:p w14:paraId="25CE6939"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99.</w:t>
                  </w:r>
                  <w:r w:rsidR="008123C9" w:rsidRPr="00DB7372">
                    <w:rPr>
                      <w:rFonts w:ascii="Times New Roman" w:eastAsia="標楷體" w:hAnsi="Times New Roman" w:cs="Times New Roman"/>
                    </w:rPr>
                    <w:t>8</w:t>
                  </w:r>
                  <w:r w:rsidR="00337BF1" w:rsidRPr="00DB7372">
                    <w:rPr>
                      <w:rFonts w:ascii="Times New Roman" w:eastAsia="標楷體" w:hAnsi="Times New Roman" w:cs="Times New Roman"/>
                    </w:rPr>
                    <w:t>280</w:t>
                  </w:r>
                </w:p>
              </w:tc>
              <w:tc>
                <w:tcPr>
                  <w:tcW w:w="619" w:type="dxa"/>
                  <w:tcBorders>
                    <w:top w:val="single" w:sz="4" w:space="0" w:color="auto"/>
                    <w:left w:val="nil"/>
                    <w:bottom w:val="nil"/>
                    <w:right w:val="single" w:sz="4" w:space="0" w:color="auto"/>
                  </w:tcBorders>
                  <w:hideMark/>
                </w:tcPr>
                <w:p w14:paraId="7AA77E14"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008123C9" w:rsidRPr="00DB7372">
                    <w:rPr>
                      <w:rFonts w:ascii="Times New Roman" w:eastAsia="標楷體" w:hAnsi="Times New Roman" w:cs="Times New Roman"/>
                      <w:lang w:eastAsia="zh-TW"/>
                    </w:rPr>
                    <w:t>f</w:t>
                  </w:r>
                  <w:r w:rsidRPr="00DB7372">
                    <w:rPr>
                      <w:rFonts w:ascii="Times New Roman" w:eastAsia="標楷體" w:hAnsi="Times New Roman" w:cs="Times New Roman"/>
                    </w:rPr>
                    <w:t>）</w:t>
                  </w:r>
                </w:p>
              </w:tc>
              <w:tc>
                <w:tcPr>
                  <w:tcW w:w="312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69CC552"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同行指標綜合指數實際值</w:t>
                  </w:r>
                </w:p>
              </w:tc>
            </w:tr>
            <w:tr w:rsidR="00762445" w:rsidRPr="00DB7372" w14:paraId="3B289390" w14:textId="77777777" w:rsidTr="008123C9">
              <w:trPr>
                <w:jc w:val="center"/>
              </w:trPr>
              <w:tc>
                <w:tcPr>
                  <w:tcW w:w="1559" w:type="dxa"/>
                  <w:gridSpan w:val="4"/>
                  <w:tcBorders>
                    <w:top w:val="nil"/>
                    <w:left w:val="single" w:sz="4" w:space="0" w:color="auto"/>
                    <w:bottom w:val="nil"/>
                    <w:right w:val="single" w:sz="4" w:space="0" w:color="auto"/>
                  </w:tcBorders>
                </w:tcPr>
                <w:p w14:paraId="14B33C2F"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w:t>
                  </w:r>
                  <w:r w:rsidR="008123C9" w:rsidRPr="00DB7372">
                    <w:rPr>
                      <w:rFonts w:ascii="Times New Roman" w:eastAsia="標楷體" w:hAnsi="Times New Roman" w:cs="Times New Roman"/>
                      <w:lang w:eastAsia="zh-TW"/>
                    </w:rPr>
                    <w:t>3</w:t>
                  </w:r>
                </w:p>
              </w:tc>
              <w:tc>
                <w:tcPr>
                  <w:tcW w:w="1933" w:type="dxa"/>
                  <w:tcBorders>
                    <w:top w:val="nil"/>
                    <w:left w:val="single" w:sz="4" w:space="0" w:color="auto"/>
                    <w:bottom w:val="nil"/>
                    <w:right w:val="nil"/>
                  </w:tcBorders>
                  <w:vAlign w:val="center"/>
                  <w:hideMark/>
                </w:tcPr>
                <w:p w14:paraId="3B18A06E"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99.</w:t>
                  </w:r>
                  <w:r w:rsidR="008123C9" w:rsidRPr="00DB7372">
                    <w:rPr>
                      <w:rFonts w:ascii="Times New Roman" w:eastAsia="標楷體" w:hAnsi="Times New Roman" w:cs="Times New Roman"/>
                    </w:rPr>
                    <w:t>72</w:t>
                  </w:r>
                  <w:r w:rsidR="00337BF1" w:rsidRPr="00DB7372">
                    <w:rPr>
                      <w:rFonts w:ascii="Times New Roman" w:eastAsia="標楷體" w:hAnsi="Times New Roman" w:cs="Times New Roman"/>
                    </w:rPr>
                    <w:t>29</w:t>
                  </w:r>
                </w:p>
              </w:tc>
              <w:tc>
                <w:tcPr>
                  <w:tcW w:w="619" w:type="dxa"/>
                  <w:tcBorders>
                    <w:top w:val="nil"/>
                    <w:left w:val="nil"/>
                    <w:bottom w:val="nil"/>
                    <w:right w:val="single" w:sz="4" w:space="0" w:color="auto"/>
                  </w:tcBorders>
                  <w:hideMark/>
                </w:tcPr>
                <w:p w14:paraId="3ACF6F22"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Pr="00DB7372">
                    <w:rPr>
                      <w:rFonts w:ascii="Times New Roman" w:eastAsia="標楷體" w:hAnsi="Times New Roman" w:cs="Times New Roman"/>
                      <w:lang w:eastAsia="zh-TW"/>
                    </w:rPr>
                    <w:t>a</w:t>
                  </w:r>
                  <w:r w:rsidRPr="00DB7372">
                    <w:rPr>
                      <w:rFonts w:ascii="Times New Roman" w:eastAsia="標楷體" w:hAnsi="Times New Roman" w:cs="Times New Roman"/>
                    </w:rPr>
                    <w:t>）</w:t>
                  </w: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42E736A8" w14:textId="77777777" w:rsidR="00762445" w:rsidRPr="00DB7372" w:rsidRDefault="00762445" w:rsidP="00C260C7">
                  <w:pPr>
                    <w:framePr w:hSpace="180" w:wrap="around" w:vAnchor="text" w:hAnchor="margin" w:xAlign="center" w:y="-35"/>
                    <w:rPr>
                      <w:rFonts w:ascii="Times New Roman" w:eastAsia="標楷體" w:hAnsi="Times New Roman" w:cs="Times New Roman"/>
                      <w:lang w:val="en-GB"/>
                    </w:rPr>
                  </w:pPr>
                </w:p>
              </w:tc>
            </w:tr>
            <w:tr w:rsidR="00762445" w:rsidRPr="00DB7372" w14:paraId="555BFC11" w14:textId="77777777" w:rsidTr="008123C9">
              <w:trPr>
                <w:jc w:val="center"/>
              </w:trPr>
              <w:tc>
                <w:tcPr>
                  <w:tcW w:w="1559" w:type="dxa"/>
                  <w:gridSpan w:val="4"/>
                  <w:tcBorders>
                    <w:top w:val="nil"/>
                    <w:left w:val="single" w:sz="4" w:space="0" w:color="auto"/>
                    <w:bottom w:val="single" w:sz="4" w:space="0" w:color="auto"/>
                    <w:right w:val="single" w:sz="4" w:space="0" w:color="auto"/>
                  </w:tcBorders>
                </w:tcPr>
                <w:p w14:paraId="1EB1CE8F"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2018-</w:t>
                  </w:r>
                  <w:r w:rsidR="008123C9" w:rsidRPr="00DB7372">
                    <w:rPr>
                      <w:rFonts w:ascii="Times New Roman" w:eastAsia="標楷體" w:hAnsi="Times New Roman" w:cs="Times New Roman"/>
                      <w:lang w:eastAsia="zh-TW"/>
                    </w:rPr>
                    <w:t>2</w:t>
                  </w:r>
                </w:p>
              </w:tc>
              <w:tc>
                <w:tcPr>
                  <w:tcW w:w="1933" w:type="dxa"/>
                  <w:tcBorders>
                    <w:top w:val="nil"/>
                    <w:left w:val="single" w:sz="4" w:space="0" w:color="auto"/>
                    <w:bottom w:val="single" w:sz="4" w:space="0" w:color="auto"/>
                    <w:right w:val="nil"/>
                  </w:tcBorders>
                  <w:vAlign w:val="center"/>
                  <w:hideMark/>
                </w:tcPr>
                <w:p w14:paraId="264E1639"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99.6</w:t>
                  </w:r>
                  <w:r w:rsidR="008123C9" w:rsidRPr="00DB7372">
                    <w:rPr>
                      <w:rFonts w:ascii="Times New Roman" w:eastAsia="標楷體" w:hAnsi="Times New Roman" w:cs="Times New Roman"/>
                    </w:rPr>
                    <w:t>6</w:t>
                  </w:r>
                  <w:r w:rsidR="00337BF1" w:rsidRPr="00DB7372">
                    <w:rPr>
                      <w:rFonts w:ascii="Times New Roman" w:eastAsia="標楷體" w:hAnsi="Times New Roman" w:cs="Times New Roman"/>
                    </w:rPr>
                    <w:t>47</w:t>
                  </w:r>
                </w:p>
              </w:tc>
              <w:tc>
                <w:tcPr>
                  <w:tcW w:w="619" w:type="dxa"/>
                  <w:tcBorders>
                    <w:top w:val="nil"/>
                    <w:left w:val="nil"/>
                    <w:bottom w:val="single" w:sz="4" w:space="0" w:color="auto"/>
                    <w:right w:val="single" w:sz="4" w:space="0" w:color="auto"/>
                  </w:tcBorders>
                  <w:hideMark/>
                </w:tcPr>
                <w:p w14:paraId="1CB74D1E"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w:t>
                  </w:r>
                  <w:r w:rsidRPr="00DB7372">
                    <w:rPr>
                      <w:rFonts w:ascii="Times New Roman" w:eastAsia="標楷體" w:hAnsi="Times New Roman" w:cs="Times New Roman"/>
                    </w:rPr>
                    <w:t>a</w:t>
                  </w:r>
                  <w:r w:rsidRPr="00DB7372">
                    <w:rPr>
                      <w:rFonts w:ascii="Times New Roman" w:eastAsia="標楷體" w:hAnsi="Times New Roman" w:cs="Times New Roman"/>
                    </w:rPr>
                    <w:t>）</w:t>
                  </w: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3F164B85" w14:textId="77777777" w:rsidR="00762445" w:rsidRPr="00DB7372" w:rsidRDefault="00762445" w:rsidP="00C260C7">
                  <w:pPr>
                    <w:framePr w:hSpace="180" w:wrap="around" w:vAnchor="text" w:hAnchor="margin" w:xAlign="center" w:y="-35"/>
                    <w:rPr>
                      <w:rFonts w:ascii="Times New Roman" w:eastAsia="標楷體" w:hAnsi="Times New Roman" w:cs="Times New Roman"/>
                      <w:lang w:val="en-GB"/>
                    </w:rPr>
                  </w:pPr>
                </w:p>
              </w:tc>
            </w:tr>
            <w:tr w:rsidR="00762445" w:rsidRPr="00DB7372" w14:paraId="2A817B77" w14:textId="77777777" w:rsidTr="00DD6F7E">
              <w:trPr>
                <w:jc w:val="center"/>
              </w:trPr>
              <w:tc>
                <w:tcPr>
                  <w:tcW w:w="7235" w:type="dxa"/>
                  <w:gridSpan w:val="7"/>
                  <w:tcBorders>
                    <w:top w:val="single" w:sz="4" w:space="0" w:color="auto"/>
                    <w:left w:val="nil"/>
                    <w:bottom w:val="nil"/>
                    <w:right w:val="nil"/>
                  </w:tcBorders>
                  <w:tcMar>
                    <w:top w:w="0" w:type="dxa"/>
                    <w:left w:w="85" w:type="dxa"/>
                    <w:bottom w:w="0" w:type="dxa"/>
                    <w:right w:w="85" w:type="dxa"/>
                  </w:tcMar>
                  <w:hideMark/>
                </w:tcPr>
                <w:p w14:paraId="44E1EE58"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資料來源：商業發展研究院景氣循環預測小組</w:t>
                  </w:r>
                </w:p>
              </w:tc>
            </w:tr>
            <w:tr w:rsidR="00762445" w:rsidRPr="00DB7372" w14:paraId="57A22311" w14:textId="77777777" w:rsidTr="00DD6F7E">
              <w:trPr>
                <w:jc w:val="center"/>
              </w:trPr>
              <w:tc>
                <w:tcPr>
                  <w:tcW w:w="846" w:type="dxa"/>
                  <w:tcBorders>
                    <w:top w:val="nil"/>
                    <w:left w:val="nil"/>
                    <w:bottom w:val="nil"/>
                    <w:right w:val="nil"/>
                  </w:tcBorders>
                  <w:tcMar>
                    <w:top w:w="0" w:type="dxa"/>
                    <w:left w:w="85" w:type="dxa"/>
                    <w:bottom w:w="0" w:type="dxa"/>
                    <w:right w:w="0" w:type="dxa"/>
                  </w:tcMar>
                  <w:hideMark/>
                </w:tcPr>
                <w:p w14:paraId="446A415F"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說明：</w:t>
                  </w:r>
                </w:p>
              </w:tc>
              <w:tc>
                <w:tcPr>
                  <w:tcW w:w="283" w:type="dxa"/>
                  <w:tcBorders>
                    <w:top w:val="nil"/>
                    <w:left w:val="nil"/>
                    <w:bottom w:val="nil"/>
                    <w:right w:val="nil"/>
                  </w:tcBorders>
                  <w:hideMark/>
                </w:tcPr>
                <w:p w14:paraId="3B5ABBBE"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1.</w:t>
                  </w:r>
                </w:p>
              </w:tc>
              <w:tc>
                <w:tcPr>
                  <w:tcW w:w="284" w:type="dxa"/>
                  <w:tcBorders>
                    <w:top w:val="nil"/>
                    <w:left w:val="nil"/>
                    <w:bottom w:val="nil"/>
                    <w:right w:val="nil"/>
                  </w:tcBorders>
                  <w:tcMar>
                    <w:top w:w="0" w:type="dxa"/>
                    <w:left w:w="57" w:type="dxa"/>
                    <w:bottom w:w="0" w:type="dxa"/>
                    <w:right w:w="0" w:type="dxa"/>
                  </w:tcMar>
                  <w:hideMark/>
                </w:tcPr>
                <w:p w14:paraId="22E146E2"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a</w:t>
                  </w:r>
                </w:p>
              </w:tc>
              <w:tc>
                <w:tcPr>
                  <w:tcW w:w="5822" w:type="dxa"/>
                  <w:gridSpan w:val="4"/>
                  <w:tcBorders>
                    <w:top w:val="nil"/>
                    <w:left w:val="nil"/>
                    <w:bottom w:val="nil"/>
                    <w:right w:val="nil"/>
                  </w:tcBorders>
                  <w:hideMark/>
                </w:tcPr>
                <w:p w14:paraId="3769244B"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為實際值</w:t>
                  </w:r>
                  <w:r w:rsidRPr="00DB7372">
                    <w:rPr>
                      <w:rFonts w:ascii="Times New Roman" w:eastAsia="標楷體" w:hAnsi="Times New Roman" w:cs="Times New Roman"/>
                    </w:rPr>
                    <w:t>(actual)</w:t>
                  </w:r>
                </w:p>
              </w:tc>
            </w:tr>
            <w:tr w:rsidR="00762445" w:rsidRPr="00DB7372" w14:paraId="35CA81AE"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02282A82"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tcPr>
                <w:p w14:paraId="59F35CD8"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4" w:type="dxa"/>
                  <w:tcBorders>
                    <w:top w:val="nil"/>
                    <w:left w:val="nil"/>
                    <w:bottom w:val="nil"/>
                    <w:right w:val="nil"/>
                  </w:tcBorders>
                  <w:tcMar>
                    <w:top w:w="0" w:type="dxa"/>
                    <w:left w:w="57" w:type="dxa"/>
                    <w:bottom w:w="0" w:type="dxa"/>
                    <w:right w:w="0" w:type="dxa"/>
                  </w:tcMar>
                  <w:hideMark/>
                </w:tcPr>
                <w:p w14:paraId="683DBD56"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f</w:t>
                  </w:r>
                </w:p>
              </w:tc>
              <w:tc>
                <w:tcPr>
                  <w:tcW w:w="5822" w:type="dxa"/>
                  <w:gridSpan w:val="4"/>
                  <w:tcBorders>
                    <w:top w:val="nil"/>
                    <w:left w:val="nil"/>
                    <w:bottom w:val="nil"/>
                    <w:right w:val="nil"/>
                  </w:tcBorders>
                  <w:hideMark/>
                </w:tcPr>
                <w:p w14:paraId="2395682E"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為預測值</w:t>
                  </w:r>
                  <w:r w:rsidRPr="00DB7372">
                    <w:rPr>
                      <w:rFonts w:ascii="Times New Roman" w:eastAsia="標楷體" w:hAnsi="Times New Roman" w:cs="Times New Roman"/>
                    </w:rPr>
                    <w:t>(forecasted)</w:t>
                  </w:r>
                </w:p>
              </w:tc>
            </w:tr>
            <w:tr w:rsidR="00762445" w:rsidRPr="00DB7372" w14:paraId="4389149F"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34DDC94D"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tcPr>
                <w:p w14:paraId="3B8067B0"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4" w:type="dxa"/>
                  <w:tcBorders>
                    <w:top w:val="nil"/>
                    <w:left w:val="nil"/>
                    <w:bottom w:val="nil"/>
                    <w:right w:val="nil"/>
                  </w:tcBorders>
                  <w:tcMar>
                    <w:top w:w="0" w:type="dxa"/>
                    <w:left w:w="57" w:type="dxa"/>
                    <w:bottom w:w="0" w:type="dxa"/>
                    <w:right w:w="0" w:type="dxa"/>
                  </w:tcMar>
                  <w:hideMark/>
                </w:tcPr>
                <w:p w14:paraId="4816A72D" w14:textId="77777777" w:rsidR="00762445" w:rsidRPr="00DB7372" w:rsidRDefault="00762445" w:rsidP="00C260C7">
                  <w:pPr>
                    <w:framePr w:hSpace="180" w:wrap="around" w:vAnchor="text" w:hAnchor="margin" w:xAlign="center" w:y="-35"/>
                    <w:jc w:val="center"/>
                    <w:rPr>
                      <w:rFonts w:ascii="Times New Roman" w:eastAsia="標楷體" w:hAnsi="Times New Roman" w:cs="Times New Roman"/>
                    </w:rPr>
                  </w:pPr>
                  <w:r w:rsidRPr="00DB7372">
                    <w:rPr>
                      <w:rFonts w:ascii="Times New Roman" w:eastAsia="標楷體" w:hAnsi="Times New Roman" w:cs="Times New Roman"/>
                    </w:rPr>
                    <w:t>p</w:t>
                  </w:r>
                </w:p>
              </w:tc>
              <w:tc>
                <w:tcPr>
                  <w:tcW w:w="5822" w:type="dxa"/>
                  <w:gridSpan w:val="4"/>
                  <w:tcBorders>
                    <w:top w:val="nil"/>
                    <w:left w:val="nil"/>
                    <w:bottom w:val="nil"/>
                    <w:right w:val="nil"/>
                  </w:tcBorders>
                  <w:hideMark/>
                </w:tcPr>
                <w:p w14:paraId="281833D4"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為估計值</w:t>
                  </w:r>
                  <w:r w:rsidRPr="00DB7372">
                    <w:rPr>
                      <w:rFonts w:ascii="Times New Roman" w:eastAsia="標楷體" w:hAnsi="Times New Roman" w:cs="Times New Roman"/>
                    </w:rPr>
                    <w:t>(predicted)</w:t>
                  </w:r>
                </w:p>
              </w:tc>
            </w:tr>
            <w:tr w:rsidR="00762445" w:rsidRPr="00DB7372" w14:paraId="2DE8B47E"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7CE8F1F9"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0F97D1F9"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2.</w:t>
                  </w:r>
                </w:p>
              </w:tc>
              <w:tc>
                <w:tcPr>
                  <w:tcW w:w="6106" w:type="dxa"/>
                  <w:gridSpan w:val="5"/>
                  <w:tcBorders>
                    <w:top w:val="nil"/>
                    <w:left w:val="nil"/>
                    <w:bottom w:val="nil"/>
                    <w:right w:val="nil"/>
                  </w:tcBorders>
                  <w:tcMar>
                    <w:top w:w="0" w:type="dxa"/>
                    <w:left w:w="57" w:type="dxa"/>
                    <w:bottom w:w="0" w:type="dxa"/>
                    <w:right w:w="0" w:type="dxa"/>
                  </w:tcMar>
                  <w:hideMark/>
                </w:tcPr>
                <w:p w14:paraId="4E5F0251"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最近一次的基準循環轉折點：</w:t>
                  </w:r>
                  <w:r w:rsidRPr="00DB7372">
                    <w:rPr>
                      <w:rFonts w:ascii="Times New Roman" w:eastAsia="標楷體" w:hAnsi="Times New Roman" w:cs="Times New Roman"/>
                    </w:rPr>
                    <w:t>2017</w:t>
                  </w:r>
                  <w:r w:rsidRPr="00DB7372">
                    <w:rPr>
                      <w:rFonts w:ascii="Times New Roman" w:eastAsia="標楷體" w:hAnsi="Times New Roman" w:cs="Times New Roman"/>
                    </w:rPr>
                    <w:t>年</w:t>
                  </w:r>
                  <w:r w:rsidR="00637EFF" w:rsidRPr="00DB7372">
                    <w:rPr>
                      <w:rFonts w:ascii="Times New Roman" w:eastAsia="標楷體" w:hAnsi="Times New Roman" w:cs="Times New Roman"/>
                      <w:lang w:eastAsia="zh-TW"/>
                    </w:rPr>
                    <w:t>4</w:t>
                  </w:r>
                  <w:r w:rsidRPr="00DB7372">
                    <w:rPr>
                      <w:rFonts w:ascii="Times New Roman" w:eastAsia="標楷體" w:hAnsi="Times New Roman" w:cs="Times New Roman"/>
                    </w:rPr>
                    <w:t>月</w:t>
                  </w:r>
                  <w:r w:rsidRPr="00DB7372">
                    <w:rPr>
                      <w:rFonts w:ascii="Times New Roman" w:eastAsia="標楷體" w:hAnsi="Times New Roman" w:cs="Times New Roman"/>
                    </w:rPr>
                    <w:t>(</w:t>
                  </w:r>
                  <w:r w:rsidRPr="00DB7372">
                    <w:rPr>
                      <w:rFonts w:ascii="Times New Roman" w:eastAsia="標楷體" w:hAnsi="Times New Roman" w:cs="Times New Roman"/>
                    </w:rPr>
                    <w:t>谷</w:t>
                  </w:r>
                  <w:r w:rsidR="00C83BC1" w:rsidRPr="00DB7372">
                    <w:rPr>
                      <w:rFonts w:ascii="Times New Roman" w:eastAsia="標楷體" w:hAnsi="Times New Roman" w:cs="Times New Roman"/>
                      <w:lang w:eastAsia="zh-TW"/>
                    </w:rPr>
                    <w:t>底</w:t>
                  </w:r>
                  <w:r w:rsidRPr="00DB7372">
                    <w:rPr>
                      <w:rFonts w:ascii="Times New Roman" w:eastAsia="標楷體" w:hAnsi="Times New Roman" w:cs="Times New Roman"/>
                    </w:rPr>
                    <w:t>)</w:t>
                  </w:r>
                </w:p>
              </w:tc>
            </w:tr>
            <w:tr w:rsidR="00762445" w:rsidRPr="00DB7372" w14:paraId="324F2890"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53612229"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5068574F"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3.</w:t>
                  </w:r>
                </w:p>
              </w:tc>
              <w:tc>
                <w:tcPr>
                  <w:tcW w:w="6106" w:type="dxa"/>
                  <w:gridSpan w:val="5"/>
                  <w:tcBorders>
                    <w:top w:val="nil"/>
                    <w:left w:val="nil"/>
                    <w:bottom w:val="nil"/>
                    <w:right w:val="nil"/>
                  </w:tcBorders>
                  <w:tcMar>
                    <w:top w:w="0" w:type="dxa"/>
                    <w:left w:w="57" w:type="dxa"/>
                    <w:bottom w:w="0" w:type="dxa"/>
                    <w:right w:w="0" w:type="dxa"/>
                  </w:tcMar>
                  <w:hideMark/>
                </w:tcPr>
                <w:p w14:paraId="4DEA586D" w14:textId="77777777" w:rsidR="00762445" w:rsidRPr="00DB7372" w:rsidRDefault="00762445" w:rsidP="00C260C7">
                  <w:pPr>
                    <w:framePr w:hSpace="180" w:wrap="around" w:vAnchor="text" w:hAnchor="margin" w:xAlign="center" w:y="-35"/>
                    <w:rPr>
                      <w:rFonts w:ascii="Times New Roman" w:eastAsia="標楷體" w:hAnsi="Times New Roman" w:cs="Times New Roman"/>
                      <w:lang w:eastAsia="zh-TW"/>
                    </w:rPr>
                  </w:pPr>
                  <w:r w:rsidRPr="00DB7372">
                    <w:rPr>
                      <w:rFonts w:ascii="Times New Roman" w:eastAsia="標楷體" w:hAnsi="Times New Roman" w:cs="Times New Roman"/>
                    </w:rPr>
                    <w:t>領先指標子指標：</w:t>
                  </w:r>
                  <w:r w:rsidRPr="00DB7372">
                    <w:rPr>
                      <w:rFonts w:ascii="Times New Roman" w:eastAsia="標楷體" w:hAnsi="Times New Roman" w:cs="Times New Roman"/>
                    </w:rPr>
                    <w:t>(1)</w:t>
                  </w:r>
                  <w:r w:rsidRPr="00DB7372">
                    <w:rPr>
                      <w:rFonts w:ascii="Times New Roman" w:eastAsia="標楷體" w:hAnsi="Times New Roman" w:cs="Times New Roman"/>
                    </w:rPr>
                    <w:t>運輸及倉儲業實質</w:t>
                  </w:r>
                  <w:r w:rsidRPr="00DB7372">
                    <w:rPr>
                      <w:rFonts w:ascii="Times New Roman" w:eastAsia="標楷體" w:hAnsi="Times New Roman" w:cs="Times New Roman"/>
                    </w:rPr>
                    <w:t>GDP</w:t>
                  </w:r>
                  <w:r w:rsidR="00FB4993" w:rsidRPr="00DB7372">
                    <w:rPr>
                      <w:rFonts w:ascii="Times New Roman" w:eastAsia="標楷體" w:hAnsi="Times New Roman" w:cs="Times New Roman"/>
                    </w:rPr>
                    <w:t>*</w:t>
                  </w:r>
                  <w:r w:rsidRPr="00DB7372">
                    <w:rPr>
                      <w:rFonts w:ascii="Times New Roman" w:eastAsia="標楷體" w:hAnsi="Times New Roman" w:cs="Times New Roman"/>
                    </w:rPr>
                    <w:t>、</w:t>
                  </w:r>
                  <w:r w:rsidRPr="00DB7372">
                    <w:rPr>
                      <w:rFonts w:ascii="Times New Roman" w:eastAsia="標楷體" w:hAnsi="Times New Roman" w:cs="Times New Roman"/>
                    </w:rPr>
                    <w:t>(2)</w:t>
                  </w:r>
                  <w:r w:rsidRPr="00DB7372">
                    <w:rPr>
                      <w:rFonts w:ascii="Times New Roman" w:eastAsia="標楷體" w:hAnsi="Times New Roman" w:cs="Times New Roman"/>
                    </w:rPr>
                    <w:t>民間實質固定資本形成</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(3)</w:t>
                  </w:r>
                  <w:r w:rsidRPr="00DB7372">
                    <w:rPr>
                      <w:rFonts w:ascii="Times New Roman" w:eastAsia="標楷體" w:hAnsi="Times New Roman" w:cs="Times New Roman"/>
                    </w:rPr>
                    <w:t>服務貿易收支淨額</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(4)</w:t>
                  </w:r>
                  <w:r w:rsidRPr="00DB7372">
                    <w:rPr>
                      <w:rFonts w:ascii="Times New Roman" w:eastAsia="標楷體" w:hAnsi="Times New Roman" w:cs="Times New Roman"/>
                    </w:rPr>
                    <w:t>失業給付初次認定受理件數</w:t>
                  </w:r>
                  <w:r w:rsidRPr="00DB7372">
                    <w:rPr>
                      <w:rFonts w:ascii="Times New Roman" w:eastAsia="標楷體" w:hAnsi="Times New Roman" w:cs="Times New Roman"/>
                    </w:rPr>
                    <w:t>(</w:t>
                  </w:r>
                  <w:r w:rsidRPr="00DB7372">
                    <w:rPr>
                      <w:rFonts w:ascii="Times New Roman" w:eastAsia="標楷體" w:hAnsi="Times New Roman" w:cs="Times New Roman"/>
                    </w:rPr>
                    <w:t>倒數</w:t>
                  </w:r>
                  <w:r w:rsidRPr="00DB7372">
                    <w:rPr>
                      <w:rFonts w:ascii="Times New Roman" w:eastAsia="標楷體" w:hAnsi="Times New Roman" w:cs="Times New Roman"/>
                    </w:rPr>
                    <w:t>)</w:t>
                  </w:r>
                  <w:r w:rsidRPr="00DB7372">
                    <w:rPr>
                      <w:rFonts w:ascii="Times New Roman" w:eastAsia="標楷體" w:hAnsi="Times New Roman" w:cs="Times New Roman"/>
                    </w:rPr>
                    <w:t>、</w:t>
                  </w:r>
                  <w:r w:rsidRPr="00DB7372">
                    <w:rPr>
                      <w:rFonts w:ascii="Times New Roman" w:eastAsia="標楷體" w:hAnsi="Times New Roman" w:cs="Times New Roman"/>
                    </w:rPr>
                    <w:t>(5)</w:t>
                  </w:r>
                  <w:r w:rsidRPr="00DB7372">
                    <w:rPr>
                      <w:rFonts w:ascii="Times New Roman" w:eastAsia="標楷體" w:hAnsi="Times New Roman" w:cs="Times New Roman"/>
                    </w:rPr>
                    <w:t>商業服務業僱員</w:t>
                  </w:r>
                  <w:r w:rsidRPr="00DB7372">
                    <w:rPr>
                      <w:rFonts w:ascii="Times New Roman" w:eastAsia="標楷體" w:hAnsi="Times New Roman" w:cs="Times New Roman"/>
                    </w:rPr>
                    <w:t>_</w:t>
                  </w:r>
                  <w:r w:rsidRPr="00DB7372">
                    <w:rPr>
                      <w:rFonts w:ascii="Times New Roman" w:eastAsia="標楷體" w:hAnsi="Times New Roman" w:cs="Times New Roman"/>
                    </w:rPr>
                    <w:t>淨進入率、</w:t>
                  </w:r>
                  <w:r w:rsidRPr="00DB7372">
                    <w:rPr>
                      <w:rFonts w:ascii="Times New Roman" w:eastAsia="標楷體" w:hAnsi="Times New Roman" w:cs="Times New Roman"/>
                    </w:rPr>
                    <w:t>(6)</w:t>
                  </w:r>
                  <w:r w:rsidRPr="00DB7372">
                    <w:rPr>
                      <w:rFonts w:ascii="Times New Roman" w:eastAsia="標楷體" w:hAnsi="Times New Roman" w:cs="Times New Roman"/>
                    </w:rPr>
                    <w:t>商業服務業股價指數</w:t>
                  </w:r>
                </w:p>
              </w:tc>
            </w:tr>
            <w:tr w:rsidR="00762445" w:rsidRPr="00DB7372" w14:paraId="153E2FAC"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21D3E36C"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58C8682C"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4.</w:t>
                  </w:r>
                </w:p>
              </w:tc>
              <w:tc>
                <w:tcPr>
                  <w:tcW w:w="6106" w:type="dxa"/>
                  <w:gridSpan w:val="5"/>
                  <w:tcBorders>
                    <w:top w:val="nil"/>
                    <w:left w:val="nil"/>
                    <w:bottom w:val="nil"/>
                    <w:right w:val="nil"/>
                  </w:tcBorders>
                  <w:tcMar>
                    <w:top w:w="0" w:type="dxa"/>
                    <w:left w:w="57" w:type="dxa"/>
                    <w:bottom w:w="0" w:type="dxa"/>
                    <w:right w:w="0" w:type="dxa"/>
                  </w:tcMar>
                  <w:hideMark/>
                </w:tcPr>
                <w:p w14:paraId="1B5133D5" w14:textId="77777777" w:rsidR="00762445" w:rsidRPr="00DB7372" w:rsidRDefault="00762445" w:rsidP="00C260C7">
                  <w:pPr>
                    <w:framePr w:hSpace="180" w:wrap="around" w:vAnchor="text" w:hAnchor="margin" w:xAlign="center" w:y="-35"/>
                    <w:rPr>
                      <w:rFonts w:ascii="Times New Roman" w:eastAsia="標楷體" w:hAnsi="Times New Roman" w:cs="Times New Roman"/>
                      <w:lang w:eastAsia="zh-TW"/>
                    </w:rPr>
                  </w:pPr>
                  <w:r w:rsidRPr="00DB7372">
                    <w:rPr>
                      <w:rFonts w:ascii="Times New Roman" w:eastAsia="標楷體" w:hAnsi="Times New Roman" w:cs="Times New Roman"/>
                    </w:rPr>
                    <w:t>同行指標子指標：</w:t>
                  </w:r>
                  <w:r w:rsidRPr="00DB7372">
                    <w:rPr>
                      <w:rFonts w:ascii="Times New Roman" w:eastAsia="標楷體" w:hAnsi="Times New Roman" w:cs="Times New Roman"/>
                    </w:rPr>
                    <w:t>(1)</w:t>
                  </w:r>
                  <w:r w:rsidRPr="00DB7372">
                    <w:rPr>
                      <w:rFonts w:ascii="Times New Roman" w:eastAsia="標楷體" w:hAnsi="Times New Roman" w:cs="Times New Roman"/>
                    </w:rPr>
                    <w:t>批發及零售業實質</w:t>
                  </w:r>
                  <w:r w:rsidRPr="00DB7372">
                    <w:rPr>
                      <w:rFonts w:ascii="Times New Roman" w:eastAsia="標楷體" w:hAnsi="Times New Roman" w:cs="Times New Roman"/>
                    </w:rPr>
                    <w:t>GDP</w:t>
                  </w:r>
                  <w:r w:rsidR="00FB4993" w:rsidRPr="00DB7372">
                    <w:rPr>
                      <w:rFonts w:ascii="Times New Roman" w:eastAsia="標楷體" w:hAnsi="Times New Roman" w:cs="Times New Roman"/>
                    </w:rPr>
                    <w:t>*</w:t>
                  </w:r>
                  <w:r w:rsidRPr="00DB7372">
                    <w:rPr>
                      <w:rFonts w:ascii="Times New Roman" w:eastAsia="標楷體" w:hAnsi="Times New Roman" w:cs="Times New Roman"/>
                    </w:rPr>
                    <w:t>、</w:t>
                  </w:r>
                  <w:r w:rsidRPr="00DB7372">
                    <w:rPr>
                      <w:rFonts w:ascii="Times New Roman" w:eastAsia="標楷體" w:hAnsi="Times New Roman" w:cs="Times New Roman"/>
                    </w:rPr>
                    <w:t>(2)</w:t>
                  </w:r>
                  <w:r w:rsidRPr="00DB7372">
                    <w:rPr>
                      <w:rFonts w:ascii="Times New Roman" w:eastAsia="標楷體" w:hAnsi="Times New Roman" w:cs="Times New Roman"/>
                    </w:rPr>
                    <w:t>金融及保險業實質</w:t>
                  </w:r>
                  <w:r w:rsidRPr="00DB7372">
                    <w:rPr>
                      <w:rFonts w:ascii="Times New Roman" w:eastAsia="標楷體" w:hAnsi="Times New Roman" w:cs="Times New Roman"/>
                    </w:rPr>
                    <w:t>GDP</w:t>
                  </w:r>
                  <w:r w:rsidR="00FB4993" w:rsidRPr="00DB7372">
                    <w:rPr>
                      <w:rFonts w:ascii="Times New Roman" w:eastAsia="標楷體" w:hAnsi="Times New Roman" w:cs="Times New Roman"/>
                    </w:rPr>
                    <w:t>*</w:t>
                  </w:r>
                  <w:r w:rsidRPr="00DB7372">
                    <w:rPr>
                      <w:rFonts w:ascii="Times New Roman" w:eastAsia="標楷體" w:hAnsi="Times New Roman" w:cs="Times New Roman"/>
                    </w:rPr>
                    <w:t>、</w:t>
                  </w:r>
                  <w:r w:rsidRPr="00DB7372">
                    <w:rPr>
                      <w:rFonts w:ascii="Times New Roman" w:eastAsia="標楷體" w:hAnsi="Times New Roman" w:cs="Times New Roman"/>
                    </w:rPr>
                    <w:t>(3)</w:t>
                  </w:r>
                  <w:r w:rsidRPr="00DB7372">
                    <w:rPr>
                      <w:rFonts w:ascii="Times New Roman" w:eastAsia="標楷體" w:hAnsi="Times New Roman" w:cs="Times New Roman"/>
                    </w:rPr>
                    <w:t>實質不動產及住宅服務業</w:t>
                  </w:r>
                  <w:r w:rsidRPr="00DB7372">
                    <w:rPr>
                      <w:rFonts w:ascii="Times New Roman" w:eastAsia="標楷體" w:hAnsi="Times New Roman" w:cs="Times New Roman"/>
                    </w:rPr>
                    <w:t>GDP</w:t>
                  </w:r>
                  <w:r w:rsidR="00FB4993" w:rsidRPr="00DB7372">
                    <w:rPr>
                      <w:rFonts w:ascii="Times New Roman" w:eastAsia="標楷體" w:hAnsi="Times New Roman" w:cs="Times New Roman"/>
                    </w:rPr>
                    <w:t>*</w:t>
                  </w:r>
                  <w:r w:rsidRPr="00DB7372">
                    <w:rPr>
                      <w:rFonts w:ascii="Times New Roman" w:eastAsia="標楷體" w:hAnsi="Times New Roman" w:cs="Times New Roman"/>
                    </w:rPr>
                    <w:t>、</w:t>
                  </w:r>
                  <w:r w:rsidRPr="00DB7372">
                    <w:rPr>
                      <w:rFonts w:ascii="Times New Roman" w:eastAsia="標楷體" w:hAnsi="Times New Roman" w:cs="Times New Roman"/>
                    </w:rPr>
                    <w:t>(4)</w:t>
                  </w:r>
                  <w:r w:rsidRPr="00DB7372">
                    <w:rPr>
                      <w:rFonts w:ascii="Times New Roman" w:eastAsia="標楷體" w:hAnsi="Times New Roman" w:cs="Times New Roman"/>
                    </w:rPr>
                    <w:t>住宅服務、水電瓦斯及其他燃料實質消費</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(5)</w:t>
                  </w:r>
                  <w:r w:rsidRPr="00DB7372">
                    <w:rPr>
                      <w:rFonts w:ascii="Times New Roman" w:eastAsia="標楷體" w:hAnsi="Times New Roman" w:cs="Times New Roman"/>
                    </w:rPr>
                    <w:t>服務業受僱員工人數</w:t>
                  </w:r>
                </w:p>
              </w:tc>
            </w:tr>
            <w:tr w:rsidR="00762445" w:rsidRPr="00DB7372" w14:paraId="6811BE9B"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0DB7A34B" w14:textId="77777777" w:rsidR="00762445" w:rsidRPr="00DB7372" w:rsidRDefault="00762445" w:rsidP="00C260C7">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59002480" w14:textId="77777777" w:rsidR="00762445"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5.</w:t>
                  </w:r>
                </w:p>
              </w:tc>
              <w:tc>
                <w:tcPr>
                  <w:tcW w:w="6106" w:type="dxa"/>
                  <w:gridSpan w:val="5"/>
                  <w:tcBorders>
                    <w:top w:val="nil"/>
                    <w:left w:val="nil"/>
                    <w:bottom w:val="nil"/>
                    <w:right w:val="nil"/>
                  </w:tcBorders>
                  <w:tcMar>
                    <w:top w:w="0" w:type="dxa"/>
                    <w:left w:w="57" w:type="dxa"/>
                    <w:bottom w:w="0" w:type="dxa"/>
                    <w:right w:w="0" w:type="dxa"/>
                  </w:tcMar>
                  <w:hideMark/>
                </w:tcPr>
                <w:p w14:paraId="75851B70" w14:textId="77777777" w:rsidR="00FB4993" w:rsidRPr="00DB7372" w:rsidRDefault="00762445" w:rsidP="00C260C7">
                  <w:pPr>
                    <w:framePr w:hSpace="180" w:wrap="around" w:vAnchor="text" w:hAnchor="margin" w:xAlign="center" w:y="-35"/>
                    <w:rPr>
                      <w:rFonts w:ascii="Times New Roman" w:eastAsia="標楷體" w:hAnsi="Times New Roman" w:cs="Times New Roman"/>
                    </w:rPr>
                  </w:pPr>
                  <w:r w:rsidRPr="00DB7372">
                    <w:rPr>
                      <w:rFonts w:ascii="Times New Roman" w:eastAsia="標楷體" w:hAnsi="Times New Roman" w:cs="Times New Roman"/>
                    </w:rPr>
                    <w:t>落後指標子指標：</w:t>
                  </w:r>
                  <w:r w:rsidRPr="00DB7372">
                    <w:rPr>
                      <w:rFonts w:ascii="Times New Roman" w:eastAsia="標楷體" w:hAnsi="Times New Roman" w:cs="Times New Roman"/>
                    </w:rPr>
                    <w:t>(1)</w:t>
                  </w:r>
                  <w:r w:rsidRPr="00DB7372">
                    <w:rPr>
                      <w:rFonts w:ascii="Times New Roman" w:eastAsia="標楷體" w:hAnsi="Times New Roman" w:cs="Times New Roman"/>
                    </w:rPr>
                    <w:t>菸酒實質消費</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 xml:space="preserve">(2) </w:t>
                  </w:r>
                  <w:r w:rsidRPr="00DB7372">
                    <w:rPr>
                      <w:rFonts w:ascii="Times New Roman" w:eastAsia="標楷體" w:hAnsi="Times New Roman" w:cs="Times New Roman"/>
                    </w:rPr>
                    <w:t>衣著鞋襪及服飾用品實質消費</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(3)</w:t>
                  </w:r>
                  <w:r w:rsidRPr="00DB7372">
                    <w:rPr>
                      <w:rFonts w:ascii="Times New Roman" w:eastAsia="標楷體" w:hAnsi="Times New Roman" w:cs="Times New Roman"/>
                    </w:rPr>
                    <w:t>家具設備及家務維護實質消費</w:t>
                  </w:r>
                  <w:r w:rsidR="00FB4993" w:rsidRPr="00DB7372">
                    <w:rPr>
                      <w:rFonts w:ascii="Times New Roman" w:eastAsia="標楷體" w:hAnsi="Times New Roman" w:cs="Times New Roman"/>
                      <w:lang w:eastAsia="zh-TW"/>
                    </w:rPr>
                    <w:t>*</w:t>
                  </w:r>
                  <w:r w:rsidRPr="00DB7372">
                    <w:rPr>
                      <w:rFonts w:ascii="Times New Roman" w:eastAsia="標楷體" w:hAnsi="Times New Roman" w:cs="Times New Roman"/>
                    </w:rPr>
                    <w:t>、</w:t>
                  </w:r>
                  <w:r w:rsidRPr="00DB7372">
                    <w:rPr>
                      <w:rFonts w:ascii="Times New Roman" w:eastAsia="標楷體" w:hAnsi="Times New Roman" w:cs="Times New Roman"/>
                    </w:rPr>
                    <w:t>(4)</w:t>
                  </w:r>
                  <w:r w:rsidRPr="00DB7372">
                    <w:rPr>
                      <w:rFonts w:ascii="Times New Roman" w:eastAsia="標楷體" w:hAnsi="Times New Roman" w:cs="Times New Roman"/>
                    </w:rPr>
                    <w:t>失業給付初次認定受理件數</w:t>
                  </w:r>
                </w:p>
                <w:p w14:paraId="0E7A88D5" w14:textId="77777777" w:rsidR="00FB4993" w:rsidRPr="00DB7372" w:rsidRDefault="00FB4993" w:rsidP="00C260C7">
                  <w:pPr>
                    <w:framePr w:hSpace="180" w:wrap="around" w:vAnchor="text" w:hAnchor="margin" w:xAlign="center" w:y="-35"/>
                    <w:rPr>
                      <w:rFonts w:ascii="Times New Roman" w:eastAsia="標楷體" w:hAnsi="Times New Roman" w:cs="Times New Roman"/>
                    </w:rPr>
                  </w:pPr>
                </w:p>
                <w:p w14:paraId="0DE011A6" w14:textId="77777777" w:rsidR="00FB4993" w:rsidRPr="00DB7372" w:rsidRDefault="00FB4993" w:rsidP="00C260C7">
                  <w:pPr>
                    <w:framePr w:hSpace="180" w:wrap="around" w:vAnchor="text" w:hAnchor="margin" w:xAlign="center" w:y="-35"/>
                    <w:rPr>
                      <w:rFonts w:ascii="Times New Roman" w:eastAsia="標楷體" w:hAnsi="Times New Roman" w:cs="Times New Roman"/>
                      <w:lang w:eastAsia="zh-TW"/>
                    </w:rPr>
                  </w:pPr>
                  <w:r w:rsidRPr="00DB7372">
                    <w:rPr>
                      <w:rFonts w:ascii="Times New Roman" w:eastAsia="標楷體" w:hAnsi="Times New Roman" w:cs="Times New Roman"/>
                      <w:highlight w:val="yellow"/>
                      <w:lang w:eastAsia="zh-TW"/>
                    </w:rPr>
                    <w:t xml:space="preserve">* </w:t>
                  </w:r>
                  <w:r w:rsidRPr="00DB7372">
                    <w:rPr>
                      <w:rFonts w:ascii="Times New Roman" w:eastAsia="標楷體" w:hAnsi="Times New Roman" w:cs="Times New Roman"/>
                      <w:highlight w:val="yellow"/>
                      <w:lang w:eastAsia="zh-TW"/>
                    </w:rPr>
                    <w:t>表示該指標採用外推值計算</w:t>
                  </w:r>
                </w:p>
              </w:tc>
            </w:tr>
          </w:tbl>
          <w:p w14:paraId="0BCA2E15" w14:textId="77777777" w:rsidR="00C712B4" w:rsidRPr="00DB7372" w:rsidRDefault="000F79D3" w:rsidP="000F79D3">
            <w:pPr>
              <w:rPr>
                <w:rFonts w:ascii="Times New Roman" w:eastAsia="標楷體" w:hAnsi="Times New Roman" w:cs="Times New Roman"/>
              </w:rPr>
            </w:pPr>
            <w:r w:rsidRPr="00DB7372">
              <w:rPr>
                <w:rFonts w:ascii="Times New Roman" w:eastAsia="標楷體" w:hAnsi="Times New Roman" w:cs="Times New Roman"/>
              </w:rPr>
              <w:br w:type="page"/>
            </w:r>
          </w:p>
          <w:p w14:paraId="66569313" w14:textId="77777777" w:rsidR="004474C9" w:rsidRPr="00DB7372" w:rsidRDefault="004474C9" w:rsidP="000F79D3">
            <w:pPr>
              <w:rPr>
                <w:rFonts w:ascii="Times New Roman" w:eastAsia="標楷體" w:hAnsi="Times New Roman" w:cs="Times New Roman"/>
              </w:rPr>
            </w:pPr>
          </w:p>
          <w:p w14:paraId="225529A1" w14:textId="77777777" w:rsidR="004474C9" w:rsidRPr="00DB7372" w:rsidRDefault="004474C9" w:rsidP="000F79D3">
            <w:pPr>
              <w:rPr>
                <w:rFonts w:ascii="Times New Roman" w:eastAsia="標楷體" w:hAnsi="Times New Roman" w:cs="Times New Roman"/>
              </w:rPr>
            </w:pPr>
          </w:p>
          <w:p w14:paraId="382AC447" w14:textId="77777777" w:rsidR="004474C9" w:rsidRPr="00DB7372" w:rsidRDefault="004474C9" w:rsidP="000F79D3">
            <w:pPr>
              <w:rPr>
                <w:rFonts w:ascii="Times New Roman" w:eastAsia="標楷體" w:hAnsi="Times New Roman" w:cs="Times New Roman"/>
              </w:rPr>
            </w:pPr>
          </w:p>
          <w:p w14:paraId="5BB8B9DF" w14:textId="77777777" w:rsidR="004474C9" w:rsidRPr="00DB7372" w:rsidRDefault="004474C9" w:rsidP="000F79D3">
            <w:pPr>
              <w:rPr>
                <w:rFonts w:ascii="Times New Roman" w:eastAsia="標楷體" w:hAnsi="Times New Roman" w:cs="Times New Roman"/>
              </w:rPr>
            </w:pPr>
          </w:p>
          <w:p w14:paraId="58BF974C" w14:textId="77777777" w:rsidR="000F79D3" w:rsidRPr="00DB7372" w:rsidRDefault="000F79D3" w:rsidP="00FB785D">
            <w:pPr>
              <w:jc w:val="center"/>
              <w:rPr>
                <w:rFonts w:ascii="Times New Roman" w:eastAsia="標楷體" w:hAnsi="Times New Roman" w:cs="Times New Roman"/>
                <w:b/>
                <w:bCs/>
                <w:sz w:val="44"/>
                <w:szCs w:val="44"/>
                <w:bdr w:val="single" w:sz="4" w:space="0" w:color="auto"/>
                <w:shd w:val="pct15" w:color="auto" w:fill="FFFFFF"/>
                <w:lang w:eastAsia="zh-CN"/>
              </w:rPr>
            </w:pPr>
            <w:r w:rsidRPr="00DB7372">
              <w:rPr>
                <w:rFonts w:ascii="Times New Roman" w:eastAsia="標楷體" w:hAnsi="Times New Roman" w:cs="Times New Roman"/>
                <w:b/>
                <w:bCs/>
                <w:sz w:val="44"/>
                <w:szCs w:val="44"/>
                <w:bdr w:val="single" w:sz="4" w:space="0" w:color="auto"/>
                <w:shd w:val="pct15" w:color="auto" w:fill="FFFFFF"/>
                <w:lang w:eastAsia="zh-CN"/>
              </w:rPr>
              <w:t>附圖</w:t>
            </w:r>
          </w:p>
          <w:p w14:paraId="496E1DC7" w14:textId="77777777" w:rsidR="00BD62D8" w:rsidRPr="009B737F" w:rsidRDefault="00BD62D8" w:rsidP="00BD62D8">
            <w:pPr>
              <w:jc w:val="center"/>
              <w:rPr>
                <w:rFonts w:ascii="Times New Roman" w:eastAsia="標楷體" w:hAnsi="Times New Roman" w:cs="Times New Roman"/>
                <w:szCs w:val="24"/>
              </w:rPr>
            </w:pPr>
            <w:r w:rsidRPr="009B737F">
              <w:rPr>
                <w:rFonts w:ascii="Times New Roman" w:eastAsia="標楷體" w:hAnsi="Times New Roman" w:cs="Times New Roman"/>
              </w:rPr>
              <w:t>Business Cycle Composite Index for Taiwan Service Sector</w:t>
            </w:r>
          </w:p>
          <w:p w14:paraId="2079295F" w14:textId="77777777" w:rsidR="00BD62D8" w:rsidRPr="009B737F" w:rsidRDefault="00BD62D8" w:rsidP="00BD62D8">
            <w:pPr>
              <w:jc w:val="center"/>
              <w:rPr>
                <w:rFonts w:ascii="Times New Roman" w:eastAsia="標楷體" w:hAnsi="Times New Roman" w:cs="Times New Roman"/>
              </w:rPr>
            </w:pPr>
            <w:r w:rsidRPr="009B737F">
              <w:rPr>
                <w:rFonts w:ascii="Times New Roman" w:eastAsia="標楷體" w:hAnsi="Times New Roman" w:cs="Times New Roman"/>
              </w:rPr>
              <w:t>台灣商業服務業景氣循環指標綜合指數</w:t>
            </w:r>
          </w:p>
          <w:tbl>
            <w:tblPr>
              <w:tblStyle w:val="ac"/>
              <w:tblW w:w="0" w:type="auto"/>
              <w:jc w:val="center"/>
              <w:tblInd w:w="0" w:type="dxa"/>
              <w:tblLayout w:type="fixed"/>
              <w:tblCellMar>
                <w:left w:w="28" w:type="dxa"/>
                <w:right w:w="28" w:type="dxa"/>
              </w:tblCellMar>
              <w:tblLook w:val="04A0" w:firstRow="1" w:lastRow="0" w:firstColumn="1" w:lastColumn="0" w:noHBand="0" w:noVBand="1"/>
            </w:tblPr>
            <w:tblGrid>
              <w:gridCol w:w="9214"/>
            </w:tblGrid>
            <w:tr w:rsidR="00BD62D8" w:rsidRPr="009B737F" w14:paraId="0746A56F" w14:textId="77777777" w:rsidTr="00791A7D">
              <w:trPr>
                <w:jc w:val="center"/>
              </w:trPr>
              <w:tc>
                <w:tcPr>
                  <w:tcW w:w="9214" w:type="dxa"/>
                  <w:tcBorders>
                    <w:top w:val="single" w:sz="4" w:space="0" w:color="auto"/>
                  </w:tcBorders>
                </w:tcPr>
                <w:p w14:paraId="6334DF53" w14:textId="77777777" w:rsidR="00BD62D8" w:rsidRPr="009B737F" w:rsidRDefault="00BD62D8" w:rsidP="00C260C7">
                  <w:pPr>
                    <w:framePr w:hSpace="180" w:wrap="around" w:vAnchor="text" w:hAnchor="margin" w:xAlign="center" w:y="-35"/>
                    <w:snapToGrid w:val="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3C454899" wp14:editId="48FEF50A">
                        <wp:extent cx="5796000" cy="198576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6000" cy="1985765"/>
                                </a:xfrm>
                                <a:prstGeom prst="rect">
                                  <a:avLst/>
                                </a:prstGeom>
                                <a:noFill/>
                              </pic:spPr>
                            </pic:pic>
                          </a:graphicData>
                        </a:graphic>
                      </wp:inline>
                    </w:drawing>
                  </w:r>
                </w:p>
                <w:p w14:paraId="7E686DBB" w14:textId="77777777" w:rsidR="00BD62D8" w:rsidRPr="009B737F" w:rsidRDefault="00BD62D8" w:rsidP="00C260C7">
                  <w:pPr>
                    <w:framePr w:hSpace="180" w:wrap="around" w:vAnchor="text" w:hAnchor="margin" w:xAlign="center" w:y="-35"/>
                    <w:snapToGrid w:val="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780B6A34" wp14:editId="68F64A78">
                        <wp:extent cx="5796000" cy="219541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6000" cy="2195417"/>
                                </a:xfrm>
                                <a:prstGeom prst="rect">
                                  <a:avLst/>
                                </a:prstGeom>
                                <a:noFill/>
                              </pic:spPr>
                            </pic:pic>
                          </a:graphicData>
                        </a:graphic>
                      </wp:inline>
                    </w:drawing>
                  </w:r>
                </w:p>
              </w:tc>
            </w:tr>
          </w:tbl>
          <w:p w14:paraId="62A40B3C" w14:textId="77777777" w:rsidR="000F79D3" w:rsidRPr="00DB7372" w:rsidRDefault="000F79D3" w:rsidP="00104418">
            <w:pPr>
              <w:jc w:val="center"/>
              <w:rPr>
                <w:rFonts w:ascii="Times New Roman" w:eastAsia="標楷體" w:hAnsi="Times New Roman" w:cs="Times New Roman"/>
                <w:szCs w:val="24"/>
              </w:rPr>
            </w:pPr>
            <w:r w:rsidRPr="00DB7372">
              <w:rPr>
                <w:rFonts w:ascii="Times New Roman" w:eastAsia="標楷體" w:hAnsi="Times New Roman" w:cs="Times New Roman"/>
                <w:szCs w:val="24"/>
              </w:rPr>
              <w:t>資料來源：商業發展研究院景氣循環預測小組</w:t>
            </w:r>
          </w:p>
          <w:p w14:paraId="4A4FE938" w14:textId="77777777" w:rsidR="000F79D3" w:rsidRPr="00DB7372" w:rsidRDefault="000F79D3" w:rsidP="00FB785D">
            <w:pPr>
              <w:ind w:leftChars="220" w:left="528"/>
              <w:rPr>
                <w:rFonts w:ascii="Times New Roman" w:eastAsia="標楷體" w:hAnsi="Times New Roman" w:cs="Times New Roman"/>
                <w:szCs w:val="24"/>
              </w:rPr>
            </w:pPr>
            <w:r w:rsidRPr="00DB7372">
              <w:rPr>
                <w:rFonts w:ascii="Times New Roman" w:eastAsia="標楷體" w:hAnsi="Times New Roman" w:cs="Times New Roman"/>
                <w:szCs w:val="24"/>
              </w:rPr>
              <w:t>說明：</w:t>
            </w:r>
          </w:p>
          <w:p w14:paraId="76B2DCD0" w14:textId="77777777" w:rsidR="000F79D3" w:rsidRPr="00DB7372" w:rsidRDefault="000F79D3" w:rsidP="00FB785D">
            <w:pPr>
              <w:pStyle w:val="a3"/>
              <w:numPr>
                <w:ilvl w:val="0"/>
                <w:numId w:val="7"/>
              </w:numPr>
              <w:spacing w:line="240" w:lineRule="auto"/>
              <w:ind w:leftChars="220" w:left="888"/>
              <w:rPr>
                <w:rFonts w:ascii="Times New Roman" w:eastAsia="標楷體" w:hAnsi="Times New Roman"/>
                <w:szCs w:val="24"/>
              </w:rPr>
            </w:pPr>
            <w:r w:rsidRPr="00DB7372">
              <w:rPr>
                <w:rFonts w:ascii="Times New Roman" w:eastAsia="標楷體" w:hAnsi="Times New Roman"/>
                <w:szCs w:val="24"/>
              </w:rPr>
              <w:t>景氣循環綜合指數為時間序列分析循環變動</w:t>
            </w:r>
            <w:r w:rsidRPr="00DB7372">
              <w:rPr>
                <w:rFonts w:ascii="Times New Roman" w:eastAsia="標楷體" w:hAnsi="Times New Roman"/>
                <w:szCs w:val="24"/>
              </w:rPr>
              <w:t>(C)</w:t>
            </w:r>
            <w:r w:rsidRPr="00DB7372">
              <w:rPr>
                <w:rFonts w:ascii="Times New Roman" w:eastAsia="標楷體" w:hAnsi="Times New Roman"/>
                <w:szCs w:val="24"/>
              </w:rPr>
              <w:t>對趨勢值</w:t>
            </w:r>
            <w:r w:rsidRPr="00DB7372">
              <w:rPr>
                <w:rFonts w:ascii="Times New Roman" w:eastAsia="標楷體" w:hAnsi="Times New Roman"/>
                <w:szCs w:val="24"/>
              </w:rPr>
              <w:t>(T)</w:t>
            </w:r>
            <w:r w:rsidRPr="00DB7372">
              <w:rPr>
                <w:rFonts w:ascii="Times New Roman" w:eastAsia="標楷體" w:hAnsi="Times New Roman"/>
                <w:szCs w:val="24"/>
              </w:rPr>
              <w:t>之百分比，</w:t>
            </w:r>
            <w:r w:rsidRPr="00DB7372">
              <w:rPr>
                <w:rFonts w:ascii="Times New Roman" w:eastAsia="標楷體" w:hAnsi="Times New Roman"/>
                <w:szCs w:val="24"/>
              </w:rPr>
              <w:t>T=100</w:t>
            </w:r>
            <w:r w:rsidRPr="00DB7372">
              <w:rPr>
                <w:rFonts w:ascii="Times New Roman" w:eastAsia="標楷體" w:hAnsi="Times New Roman"/>
                <w:szCs w:val="24"/>
              </w:rPr>
              <w:t>。</w:t>
            </w:r>
          </w:p>
          <w:p w14:paraId="46CDFEBD" w14:textId="77777777" w:rsidR="000F79D3" w:rsidRPr="00DB7372" w:rsidRDefault="000F79D3" w:rsidP="00FB785D">
            <w:pPr>
              <w:pStyle w:val="a3"/>
              <w:numPr>
                <w:ilvl w:val="0"/>
                <w:numId w:val="7"/>
              </w:numPr>
              <w:spacing w:line="240" w:lineRule="auto"/>
              <w:ind w:leftChars="220" w:left="888"/>
              <w:rPr>
                <w:rFonts w:ascii="Times New Roman" w:eastAsia="標楷體" w:hAnsi="Times New Roman"/>
                <w:szCs w:val="24"/>
              </w:rPr>
            </w:pPr>
            <w:r w:rsidRPr="00DB7372">
              <w:rPr>
                <w:rFonts w:ascii="Times New Roman" w:eastAsia="標楷體" w:hAnsi="Times New Roman"/>
                <w:szCs w:val="24"/>
              </w:rPr>
              <w:t>虛線部分為利用領先指標綜合指數對同行循環指標綜合指數所做的預測。</w:t>
            </w:r>
          </w:p>
          <w:p w14:paraId="67B27725" w14:textId="77777777" w:rsidR="000F79D3" w:rsidRPr="00DB7372" w:rsidRDefault="000F79D3" w:rsidP="00FB785D">
            <w:pPr>
              <w:pStyle w:val="a3"/>
              <w:numPr>
                <w:ilvl w:val="0"/>
                <w:numId w:val="7"/>
              </w:numPr>
              <w:spacing w:line="240" w:lineRule="auto"/>
              <w:ind w:leftChars="220" w:left="888"/>
              <w:rPr>
                <w:rFonts w:ascii="Times New Roman" w:eastAsia="標楷體" w:hAnsi="Times New Roman"/>
                <w:szCs w:val="24"/>
              </w:rPr>
            </w:pPr>
            <w:r w:rsidRPr="00DB7372">
              <w:rPr>
                <w:rFonts w:ascii="Times New Roman" w:eastAsia="標楷體" w:hAnsi="Times New Roman"/>
                <w:szCs w:val="24"/>
              </w:rPr>
              <w:t>歷次循環</w:t>
            </w:r>
            <w:r w:rsidRPr="00DB7372">
              <w:rPr>
                <w:rFonts w:ascii="Times New Roman" w:eastAsia="標楷體" w:hAnsi="Times New Roman"/>
                <w:szCs w:val="24"/>
              </w:rPr>
              <w:t>:</w:t>
            </w:r>
          </w:p>
          <w:tbl>
            <w:tblPr>
              <w:tblStyle w:val="ac"/>
              <w:tblW w:w="0" w:type="auto"/>
              <w:jc w:val="center"/>
              <w:tblInd w:w="0" w:type="dxa"/>
              <w:tblLayout w:type="fixed"/>
              <w:tblLook w:val="04A0" w:firstRow="1" w:lastRow="0" w:firstColumn="1" w:lastColumn="0" w:noHBand="0" w:noVBand="1"/>
            </w:tblPr>
            <w:tblGrid>
              <w:gridCol w:w="2074"/>
              <w:gridCol w:w="2074"/>
              <w:gridCol w:w="2074"/>
              <w:gridCol w:w="2074"/>
            </w:tblGrid>
            <w:tr w:rsidR="000F79D3" w:rsidRPr="00DB7372" w14:paraId="6E2CBE97"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4491A227"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循環</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2069899"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Trough</w:t>
                  </w:r>
                </w:p>
                <w:p w14:paraId="7218E4AB"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底谷</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0097213"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Peak</w:t>
                  </w:r>
                </w:p>
                <w:p w14:paraId="456A29C7"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高峰</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4D1A032"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Trough</w:t>
                  </w:r>
                </w:p>
                <w:p w14:paraId="48FB5D07"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底谷</w:t>
                  </w:r>
                </w:p>
              </w:tc>
            </w:tr>
            <w:tr w:rsidR="000F79D3" w:rsidRPr="00DB7372" w14:paraId="3085A8F1"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45989A05"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1</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A5992B4"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w:t>
                  </w:r>
                  <w:r w:rsidR="001717C5" w:rsidRPr="00DB7372">
                    <w:rPr>
                      <w:rFonts w:ascii="Times New Roman" w:eastAsia="標楷體" w:hAnsi="Times New Roman" w:cs="Times New Roman"/>
                      <w:sz w:val="20"/>
                      <w:lang w:eastAsia="zh-TW"/>
                    </w:rPr>
                    <w:t>3</w:t>
                  </w:r>
                  <w:r w:rsidRPr="00DB7372">
                    <w:rPr>
                      <w:rFonts w:ascii="Times New Roman" w:eastAsia="標楷體" w:hAnsi="Times New Roman" w:cs="Times New Roman"/>
                      <w:sz w:val="20"/>
                    </w:rPr>
                    <w:t>/</w:t>
                  </w:r>
                  <w:r w:rsidR="001717C5" w:rsidRPr="00DB7372">
                    <w:rPr>
                      <w:rFonts w:ascii="Times New Roman" w:eastAsia="標楷體" w:hAnsi="Times New Roman" w:cs="Times New Roman"/>
                      <w:sz w:val="20"/>
                      <w:lang w:eastAsia="zh-TW"/>
                    </w:rPr>
                    <w:t>7</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95DB18C"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2004/</w:t>
                  </w:r>
                  <w:r w:rsidR="001717C5" w:rsidRPr="00DB7372">
                    <w:rPr>
                      <w:rFonts w:ascii="Times New Roman" w:eastAsia="標楷體" w:hAnsi="Times New Roman" w:cs="Times New Roman"/>
                      <w:sz w:val="20"/>
                      <w:lang w:eastAsia="zh-TW"/>
                    </w:rPr>
                    <w:t>10</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A711D82"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2005/3</w:t>
                  </w:r>
                </w:p>
              </w:tc>
            </w:tr>
            <w:tr w:rsidR="000F79D3" w:rsidRPr="00DB7372" w14:paraId="55B5BA13"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12AEFF8B"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E8E30BD"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2005/3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FF0BA2D"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2008/3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122F8F6"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2009/</w:t>
                  </w:r>
                  <w:r w:rsidR="001717C5" w:rsidRPr="00DB7372">
                    <w:rPr>
                      <w:rFonts w:ascii="Times New Roman" w:eastAsia="標楷體" w:hAnsi="Times New Roman" w:cs="Times New Roman"/>
                      <w:sz w:val="20"/>
                      <w:lang w:eastAsia="zh-TW"/>
                    </w:rPr>
                    <w:t>8</w:t>
                  </w:r>
                </w:p>
              </w:tc>
            </w:tr>
            <w:tr w:rsidR="000F79D3" w:rsidRPr="00DB7372" w14:paraId="45380174"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37B05A65"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388B953"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2009/</w:t>
                  </w:r>
                  <w:r w:rsidR="001717C5" w:rsidRPr="00DB7372">
                    <w:rPr>
                      <w:rFonts w:ascii="Times New Roman" w:eastAsia="標楷體" w:hAnsi="Times New Roman" w:cs="Times New Roman"/>
                      <w:sz w:val="20"/>
                      <w:lang w:eastAsia="zh-TW"/>
                    </w:rPr>
                    <w:t>8</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F3A5675"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2011/</w:t>
                  </w:r>
                  <w:r w:rsidR="001717C5" w:rsidRPr="00DB7372">
                    <w:rPr>
                      <w:rFonts w:ascii="Times New Roman" w:eastAsia="標楷體" w:hAnsi="Times New Roman" w:cs="Times New Roman"/>
                      <w:sz w:val="20"/>
                      <w:lang w:eastAsia="zh-TW"/>
                    </w:rPr>
                    <w:t>8</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C138DE9"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2013/</w:t>
                  </w:r>
                  <w:r w:rsidR="00394BC7" w:rsidRPr="00DB7372">
                    <w:rPr>
                      <w:rFonts w:ascii="Times New Roman" w:eastAsia="標楷體" w:hAnsi="Times New Roman" w:cs="Times New Roman"/>
                      <w:sz w:val="20"/>
                      <w:lang w:eastAsia="zh-TW"/>
                    </w:rPr>
                    <w:t>7</w:t>
                  </w:r>
                </w:p>
              </w:tc>
            </w:tr>
            <w:tr w:rsidR="000F79D3" w:rsidRPr="00DB7372" w14:paraId="53CC8AD8"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109CA8DE"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4</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5070B70"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2013/</w:t>
                  </w:r>
                  <w:r w:rsidR="00394BC7" w:rsidRPr="00DB7372">
                    <w:rPr>
                      <w:rFonts w:ascii="Times New Roman" w:eastAsia="標楷體" w:hAnsi="Times New Roman" w:cs="Times New Roman"/>
                      <w:sz w:val="20"/>
                      <w:lang w:eastAsia="zh-TW"/>
                    </w:rPr>
                    <w:t>7</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A4EA9C4"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2015/</w:t>
                  </w:r>
                  <w:r w:rsidR="00394BC7" w:rsidRPr="00DB7372">
                    <w:rPr>
                      <w:rFonts w:ascii="Times New Roman" w:eastAsia="標楷體" w:hAnsi="Times New Roman" w:cs="Times New Roman"/>
                      <w:sz w:val="20"/>
                      <w:lang w:eastAsia="zh-TW"/>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6D3BB7E" w14:textId="77777777" w:rsidR="000F79D3" w:rsidRPr="00DB7372" w:rsidRDefault="000F79D3" w:rsidP="00C260C7">
                  <w:pPr>
                    <w:framePr w:hSpace="180" w:wrap="around" w:vAnchor="text" w:hAnchor="margin" w:xAlign="center" w:y="-35"/>
                    <w:jc w:val="center"/>
                    <w:rPr>
                      <w:rFonts w:ascii="Times New Roman" w:eastAsia="標楷體" w:hAnsi="Times New Roman" w:cs="Times New Roman"/>
                      <w:sz w:val="20"/>
                    </w:rPr>
                  </w:pPr>
                  <w:r w:rsidRPr="00DB7372">
                    <w:rPr>
                      <w:rFonts w:ascii="Times New Roman" w:eastAsia="標楷體" w:hAnsi="Times New Roman" w:cs="Times New Roman"/>
                      <w:sz w:val="20"/>
                    </w:rPr>
                    <w:t>2017/</w:t>
                  </w:r>
                  <w:r w:rsidR="00637EFF" w:rsidRPr="00DB7372">
                    <w:rPr>
                      <w:rFonts w:ascii="Times New Roman" w:eastAsia="標楷體" w:hAnsi="Times New Roman" w:cs="Times New Roman"/>
                      <w:sz w:val="20"/>
                      <w:lang w:eastAsia="zh-TW"/>
                    </w:rPr>
                    <w:t>4</w:t>
                  </w:r>
                </w:p>
              </w:tc>
            </w:tr>
          </w:tbl>
          <w:p w14:paraId="68F7518A" w14:textId="49D43EC7" w:rsidR="00666585" w:rsidRPr="00DB7372" w:rsidRDefault="00F12F2D" w:rsidP="009E5773">
            <w:pPr>
              <w:adjustRightInd w:val="0"/>
              <w:jc w:val="center"/>
              <w:rPr>
                <w:rFonts w:ascii="Times New Roman" w:eastAsia="標楷體" w:hAnsi="Times New Roman" w:cs="Times New Roman"/>
                <w:b/>
                <w:color w:val="0033CC"/>
                <w:sz w:val="28"/>
                <w:szCs w:val="28"/>
                <w:u w:val="single"/>
              </w:rPr>
            </w:pPr>
            <w:r w:rsidRPr="00DB7372">
              <w:rPr>
                <w:rFonts w:ascii="Times New Roman" w:eastAsia="標楷體" w:hAnsi="Times New Roman" w:cs="Times New Roman"/>
                <w:b/>
                <w:color w:val="FF0000"/>
                <w:sz w:val="28"/>
                <w:szCs w:val="28"/>
                <w:u w:val="single"/>
                <w:shd w:val="clear" w:color="auto" w:fill="FFFFFF"/>
              </w:rPr>
              <w:t xml:space="preserve">● </w:t>
            </w:r>
            <w:r w:rsidRPr="00DB7372">
              <w:rPr>
                <w:rFonts w:ascii="Times New Roman" w:eastAsia="標楷體" w:hAnsi="Times New Roman" w:cs="Times New Roman"/>
                <w:b/>
                <w:color w:val="FF0000"/>
                <w:sz w:val="28"/>
                <w:szCs w:val="28"/>
                <w:u w:val="single"/>
                <w:shd w:val="clear" w:color="auto" w:fill="FFFFFF"/>
              </w:rPr>
              <w:t>下月發佈日將訂於</w:t>
            </w:r>
            <w:r w:rsidR="00F1575E" w:rsidRPr="00DB7372">
              <w:rPr>
                <w:rFonts w:ascii="Times New Roman" w:eastAsia="標楷體" w:hAnsi="Times New Roman" w:cs="Times New Roman"/>
                <w:b/>
                <w:color w:val="FF0000"/>
                <w:sz w:val="28"/>
                <w:szCs w:val="28"/>
                <w:u w:val="single"/>
                <w:shd w:val="clear" w:color="auto" w:fill="FFFFFF"/>
                <w:lang w:eastAsia="zh-CN"/>
              </w:rPr>
              <w:t>8</w:t>
            </w:r>
            <w:r w:rsidRPr="00DB7372">
              <w:rPr>
                <w:rFonts w:ascii="Times New Roman" w:eastAsia="標楷體" w:hAnsi="Times New Roman" w:cs="Times New Roman"/>
                <w:b/>
                <w:color w:val="FF0000"/>
                <w:sz w:val="28"/>
                <w:szCs w:val="28"/>
                <w:u w:val="single"/>
                <w:shd w:val="clear" w:color="auto" w:fill="FFFFFF"/>
              </w:rPr>
              <w:t>月</w:t>
            </w:r>
            <w:r w:rsidR="00F75D86">
              <w:rPr>
                <w:rFonts w:ascii="Times New Roman" w:eastAsia="標楷體" w:hAnsi="Times New Roman" w:cs="Times New Roman"/>
                <w:b/>
                <w:color w:val="FF0000"/>
                <w:sz w:val="28"/>
                <w:szCs w:val="28"/>
                <w:u w:val="single"/>
                <w:shd w:val="clear" w:color="auto" w:fill="FFFFFF"/>
                <w:lang w:eastAsia="zh-CN"/>
              </w:rPr>
              <w:t>3</w:t>
            </w:r>
            <w:r w:rsidRPr="00DB7372">
              <w:rPr>
                <w:rFonts w:ascii="Times New Roman" w:eastAsia="標楷體" w:hAnsi="Times New Roman" w:cs="Times New Roman"/>
                <w:b/>
                <w:color w:val="FF0000"/>
                <w:sz w:val="28"/>
                <w:szCs w:val="28"/>
                <w:u w:val="single"/>
                <w:shd w:val="clear" w:color="auto" w:fill="FFFFFF"/>
              </w:rPr>
              <w:t>日（</w:t>
            </w:r>
            <w:r w:rsidR="00911BB6">
              <w:rPr>
                <w:rFonts w:ascii="Times New Roman" w:eastAsia="標楷體" w:hAnsi="Times New Roman" w:cs="Times New Roman" w:hint="eastAsia"/>
                <w:b/>
                <w:color w:val="FF0000"/>
                <w:sz w:val="28"/>
                <w:szCs w:val="28"/>
                <w:u w:val="single"/>
                <w:shd w:val="clear" w:color="auto" w:fill="FFFFFF"/>
              </w:rPr>
              <w:t>五</w:t>
            </w:r>
            <w:r w:rsidRPr="00DB7372">
              <w:rPr>
                <w:rFonts w:ascii="Times New Roman" w:eastAsia="標楷體" w:hAnsi="Times New Roman" w:cs="Times New Roman"/>
                <w:b/>
                <w:color w:val="FF0000"/>
                <w:sz w:val="28"/>
                <w:szCs w:val="28"/>
                <w:u w:val="single"/>
                <w:shd w:val="clear" w:color="auto" w:fill="FFFFFF"/>
              </w:rPr>
              <w:t>）上午</w:t>
            </w:r>
            <w:r w:rsidRPr="00DB7372">
              <w:rPr>
                <w:rFonts w:ascii="Times New Roman" w:eastAsia="標楷體" w:hAnsi="Times New Roman" w:cs="Times New Roman"/>
                <w:b/>
                <w:color w:val="FF0000"/>
                <w:sz w:val="28"/>
                <w:szCs w:val="28"/>
                <w:u w:val="single"/>
                <w:shd w:val="clear" w:color="auto" w:fill="FFFFFF"/>
              </w:rPr>
              <w:t>10</w:t>
            </w:r>
            <w:r w:rsidRPr="00DB7372">
              <w:rPr>
                <w:rFonts w:ascii="Times New Roman" w:eastAsia="標楷體" w:hAnsi="Times New Roman" w:cs="Times New Roman"/>
                <w:b/>
                <w:color w:val="FF0000"/>
                <w:sz w:val="28"/>
                <w:szCs w:val="28"/>
                <w:u w:val="single"/>
                <w:shd w:val="clear" w:color="auto" w:fill="FFFFFF"/>
              </w:rPr>
              <w:t>時</w:t>
            </w:r>
            <w:r w:rsidRPr="00DB7372">
              <w:rPr>
                <w:rFonts w:ascii="Times New Roman" w:eastAsia="標楷體" w:hAnsi="Times New Roman" w:cs="Times New Roman"/>
                <w:b/>
                <w:color w:val="FF0000"/>
                <w:sz w:val="28"/>
                <w:szCs w:val="28"/>
                <w:u w:val="single"/>
                <w:shd w:val="clear" w:color="auto" w:fill="FFFFFF"/>
              </w:rPr>
              <w:t>30</w:t>
            </w:r>
            <w:r w:rsidRPr="00DB7372">
              <w:rPr>
                <w:rFonts w:ascii="Times New Roman" w:eastAsia="標楷體" w:hAnsi="Times New Roman" w:cs="Times New Roman"/>
                <w:b/>
                <w:color w:val="FF0000"/>
                <w:sz w:val="28"/>
                <w:szCs w:val="28"/>
                <w:u w:val="single"/>
                <w:shd w:val="clear" w:color="auto" w:fill="FFFFFF"/>
              </w:rPr>
              <w:t>分</w:t>
            </w:r>
          </w:p>
        </w:tc>
      </w:tr>
    </w:tbl>
    <w:p w14:paraId="637962B1" w14:textId="508FAA0C" w:rsidR="00983964" w:rsidRPr="00DB7372" w:rsidRDefault="00983964" w:rsidP="000F79D3">
      <w:pPr>
        <w:adjustRightInd w:val="0"/>
        <w:ind w:firstLineChars="200" w:firstLine="480"/>
        <w:jc w:val="both"/>
        <w:rPr>
          <w:rFonts w:ascii="Times New Roman" w:eastAsia="標楷體" w:hAnsi="Times New Roman" w:cs="Times New Roman"/>
        </w:rPr>
      </w:pPr>
    </w:p>
    <w:sectPr w:rsidR="00983964" w:rsidRPr="00DB73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CC94" w14:textId="77777777" w:rsidR="00D828F4" w:rsidRDefault="00D828F4" w:rsidP="00A32179">
      <w:r>
        <w:separator/>
      </w:r>
    </w:p>
  </w:endnote>
  <w:endnote w:type="continuationSeparator" w:id="0">
    <w:p w14:paraId="32861A00" w14:textId="77777777" w:rsidR="00D828F4" w:rsidRDefault="00D828F4" w:rsidP="00A3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Noto Sans Syriac Estrangela"/>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B9C1" w14:textId="77777777" w:rsidR="00D828F4" w:rsidRDefault="00D828F4" w:rsidP="00A32179">
      <w:r>
        <w:separator/>
      </w:r>
    </w:p>
  </w:footnote>
  <w:footnote w:type="continuationSeparator" w:id="0">
    <w:p w14:paraId="10BC5675" w14:textId="77777777" w:rsidR="00D828F4" w:rsidRDefault="00D828F4" w:rsidP="00A3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FBF"/>
    <w:multiLevelType w:val="hybridMultilevel"/>
    <w:tmpl w:val="64CEB2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18519F"/>
    <w:multiLevelType w:val="hybridMultilevel"/>
    <w:tmpl w:val="2744E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44F6F73"/>
    <w:multiLevelType w:val="hybridMultilevel"/>
    <w:tmpl w:val="B3623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7F24D1"/>
    <w:multiLevelType w:val="hybridMultilevel"/>
    <w:tmpl w:val="26944DD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ACB4733"/>
    <w:multiLevelType w:val="hybridMultilevel"/>
    <w:tmpl w:val="9C96D536"/>
    <w:lvl w:ilvl="0" w:tplc="17081778">
      <w:start w:val="1"/>
      <w:numFmt w:val="decimal"/>
      <w:lvlText w:val="%1."/>
      <w:lvlJc w:val="left"/>
      <w:pPr>
        <w:ind w:left="926" w:hanging="36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5" w15:restartNumberingAfterBreak="0">
    <w:nsid w:val="40617DDC"/>
    <w:multiLevelType w:val="hybridMultilevel"/>
    <w:tmpl w:val="C45ECED6"/>
    <w:lvl w:ilvl="0" w:tplc="8CCCD374">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9A50FB"/>
    <w:multiLevelType w:val="hybridMultilevel"/>
    <w:tmpl w:val="1ED89196"/>
    <w:lvl w:ilvl="0" w:tplc="F2EE5910">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4B1A7238"/>
    <w:multiLevelType w:val="hybridMultilevel"/>
    <w:tmpl w:val="4EF444AC"/>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52380166"/>
    <w:multiLevelType w:val="hybridMultilevel"/>
    <w:tmpl w:val="CE32CD94"/>
    <w:lvl w:ilvl="0" w:tplc="C22A3E42">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559C2"/>
    <w:multiLevelType w:val="hybridMultilevel"/>
    <w:tmpl w:val="F33E2D0A"/>
    <w:lvl w:ilvl="0" w:tplc="41D4EA16">
      <w:start w:val="1"/>
      <w:numFmt w:val="decimal"/>
      <w:lvlText w:val="%1."/>
      <w:lvlJc w:val="left"/>
      <w:pPr>
        <w:ind w:left="1048" w:hanging="480"/>
      </w:pPr>
      <w:rPr>
        <w:rFonts w:hint="eastAsia"/>
        <w:b w:val="0"/>
        <w:color w:val="auto"/>
        <w:sz w:val="28"/>
        <w:szCs w:val="22"/>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0" w15:restartNumberingAfterBreak="0">
    <w:nsid w:val="6547215A"/>
    <w:multiLevelType w:val="hybridMultilevel"/>
    <w:tmpl w:val="669612E4"/>
    <w:lvl w:ilvl="0" w:tplc="952654BE">
      <w:start w:val="1"/>
      <w:numFmt w:val="decimal"/>
      <w:lvlText w:val="%1."/>
      <w:lvlJc w:val="left"/>
      <w:pPr>
        <w:ind w:left="720" w:hanging="480"/>
      </w:pPr>
      <w:rPr>
        <w:rFonts w:hint="eastAsia"/>
        <w:sz w:val="28"/>
        <w:szCs w:val="2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0"/>
  </w:num>
  <w:num w:numId="3">
    <w:abstractNumId w:val="2"/>
  </w:num>
  <w:num w:numId="4">
    <w:abstractNumId w:val="1"/>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09"/>
    <w:rsid w:val="000015FA"/>
    <w:rsid w:val="00001859"/>
    <w:rsid w:val="00002FC4"/>
    <w:rsid w:val="00004C13"/>
    <w:rsid w:val="00005C63"/>
    <w:rsid w:val="00006001"/>
    <w:rsid w:val="00006CB8"/>
    <w:rsid w:val="000071C8"/>
    <w:rsid w:val="00010CCE"/>
    <w:rsid w:val="00023209"/>
    <w:rsid w:val="00023586"/>
    <w:rsid w:val="00025BD5"/>
    <w:rsid w:val="000306B0"/>
    <w:rsid w:val="00032C78"/>
    <w:rsid w:val="000352FB"/>
    <w:rsid w:val="000356E4"/>
    <w:rsid w:val="00035749"/>
    <w:rsid w:val="00035EF2"/>
    <w:rsid w:val="000373C0"/>
    <w:rsid w:val="00041522"/>
    <w:rsid w:val="00044B30"/>
    <w:rsid w:val="000454F5"/>
    <w:rsid w:val="0004678F"/>
    <w:rsid w:val="00047F49"/>
    <w:rsid w:val="00051087"/>
    <w:rsid w:val="0005154A"/>
    <w:rsid w:val="00052A98"/>
    <w:rsid w:val="00054018"/>
    <w:rsid w:val="00054F61"/>
    <w:rsid w:val="00055AD0"/>
    <w:rsid w:val="000577A3"/>
    <w:rsid w:val="00061FBA"/>
    <w:rsid w:val="00062A71"/>
    <w:rsid w:val="0006347D"/>
    <w:rsid w:val="000673C1"/>
    <w:rsid w:val="00075321"/>
    <w:rsid w:val="00077C81"/>
    <w:rsid w:val="000822D6"/>
    <w:rsid w:val="00083319"/>
    <w:rsid w:val="00085A6C"/>
    <w:rsid w:val="00087E47"/>
    <w:rsid w:val="000908FA"/>
    <w:rsid w:val="000913A2"/>
    <w:rsid w:val="00092225"/>
    <w:rsid w:val="000940A2"/>
    <w:rsid w:val="00094B11"/>
    <w:rsid w:val="000950D4"/>
    <w:rsid w:val="00096B59"/>
    <w:rsid w:val="00096DEF"/>
    <w:rsid w:val="0009729B"/>
    <w:rsid w:val="000A1076"/>
    <w:rsid w:val="000A3466"/>
    <w:rsid w:val="000B390A"/>
    <w:rsid w:val="000B7628"/>
    <w:rsid w:val="000C081D"/>
    <w:rsid w:val="000C0E67"/>
    <w:rsid w:val="000C35AD"/>
    <w:rsid w:val="000C6A87"/>
    <w:rsid w:val="000C7F6F"/>
    <w:rsid w:val="000D198B"/>
    <w:rsid w:val="000D1EDE"/>
    <w:rsid w:val="000D43C6"/>
    <w:rsid w:val="000D60EB"/>
    <w:rsid w:val="000D645A"/>
    <w:rsid w:val="000D6660"/>
    <w:rsid w:val="000D66EA"/>
    <w:rsid w:val="000D7FB0"/>
    <w:rsid w:val="000E1091"/>
    <w:rsid w:val="000E5F80"/>
    <w:rsid w:val="000E65CA"/>
    <w:rsid w:val="000F0047"/>
    <w:rsid w:val="000F0C3E"/>
    <w:rsid w:val="000F2C51"/>
    <w:rsid w:val="000F4614"/>
    <w:rsid w:val="000F609B"/>
    <w:rsid w:val="000F7792"/>
    <w:rsid w:val="000F79D3"/>
    <w:rsid w:val="000F7D42"/>
    <w:rsid w:val="00102093"/>
    <w:rsid w:val="00104418"/>
    <w:rsid w:val="00105537"/>
    <w:rsid w:val="00105942"/>
    <w:rsid w:val="00110ED9"/>
    <w:rsid w:val="00115AD2"/>
    <w:rsid w:val="00116079"/>
    <w:rsid w:val="00117D9C"/>
    <w:rsid w:val="00120413"/>
    <w:rsid w:val="0012138F"/>
    <w:rsid w:val="001254C1"/>
    <w:rsid w:val="00131A64"/>
    <w:rsid w:val="001346D5"/>
    <w:rsid w:val="00136FA3"/>
    <w:rsid w:val="00141515"/>
    <w:rsid w:val="001453E8"/>
    <w:rsid w:val="00146088"/>
    <w:rsid w:val="0015092D"/>
    <w:rsid w:val="001569F6"/>
    <w:rsid w:val="00157FAA"/>
    <w:rsid w:val="00160D72"/>
    <w:rsid w:val="001637CE"/>
    <w:rsid w:val="00163E18"/>
    <w:rsid w:val="0016649D"/>
    <w:rsid w:val="001717C5"/>
    <w:rsid w:val="0017289D"/>
    <w:rsid w:val="00172F6D"/>
    <w:rsid w:val="001747A6"/>
    <w:rsid w:val="00175AC3"/>
    <w:rsid w:val="001761BF"/>
    <w:rsid w:val="001801D5"/>
    <w:rsid w:val="0018262D"/>
    <w:rsid w:val="00182ACC"/>
    <w:rsid w:val="00184FC0"/>
    <w:rsid w:val="00185097"/>
    <w:rsid w:val="001911E6"/>
    <w:rsid w:val="0019125B"/>
    <w:rsid w:val="00191914"/>
    <w:rsid w:val="00194B13"/>
    <w:rsid w:val="00196540"/>
    <w:rsid w:val="001A1C6E"/>
    <w:rsid w:val="001A5641"/>
    <w:rsid w:val="001A56C7"/>
    <w:rsid w:val="001A7076"/>
    <w:rsid w:val="001B0C4E"/>
    <w:rsid w:val="001B11D3"/>
    <w:rsid w:val="001B2217"/>
    <w:rsid w:val="001B7E92"/>
    <w:rsid w:val="001C00ED"/>
    <w:rsid w:val="001C2EA3"/>
    <w:rsid w:val="001C36DA"/>
    <w:rsid w:val="001C5914"/>
    <w:rsid w:val="001C594D"/>
    <w:rsid w:val="001C6970"/>
    <w:rsid w:val="001C75F2"/>
    <w:rsid w:val="001D2723"/>
    <w:rsid w:val="001D53F5"/>
    <w:rsid w:val="001D57B0"/>
    <w:rsid w:val="001D6E28"/>
    <w:rsid w:val="001D7695"/>
    <w:rsid w:val="001D7B8C"/>
    <w:rsid w:val="001E6702"/>
    <w:rsid w:val="001E6D37"/>
    <w:rsid w:val="001E74D7"/>
    <w:rsid w:val="001F0F6B"/>
    <w:rsid w:val="001F2125"/>
    <w:rsid w:val="001F26A5"/>
    <w:rsid w:val="001F4849"/>
    <w:rsid w:val="001F4A2D"/>
    <w:rsid w:val="001F4A95"/>
    <w:rsid w:val="001F74E8"/>
    <w:rsid w:val="001F7CDF"/>
    <w:rsid w:val="001F7EEB"/>
    <w:rsid w:val="00201D67"/>
    <w:rsid w:val="00204CBF"/>
    <w:rsid w:val="00206A10"/>
    <w:rsid w:val="002074CF"/>
    <w:rsid w:val="00207740"/>
    <w:rsid w:val="00210017"/>
    <w:rsid w:val="002106D5"/>
    <w:rsid w:val="00213142"/>
    <w:rsid w:val="00214DE9"/>
    <w:rsid w:val="002157F6"/>
    <w:rsid w:val="00216995"/>
    <w:rsid w:val="00221A56"/>
    <w:rsid w:val="002253D7"/>
    <w:rsid w:val="00226D8F"/>
    <w:rsid w:val="002270A2"/>
    <w:rsid w:val="00230E47"/>
    <w:rsid w:val="002326EE"/>
    <w:rsid w:val="0023600D"/>
    <w:rsid w:val="00237933"/>
    <w:rsid w:val="00237A13"/>
    <w:rsid w:val="002404B4"/>
    <w:rsid w:val="00241DB6"/>
    <w:rsid w:val="002422CD"/>
    <w:rsid w:val="002427AD"/>
    <w:rsid w:val="002437A1"/>
    <w:rsid w:val="002469CE"/>
    <w:rsid w:val="0024734C"/>
    <w:rsid w:val="0025101D"/>
    <w:rsid w:val="00255077"/>
    <w:rsid w:val="00255A23"/>
    <w:rsid w:val="00256260"/>
    <w:rsid w:val="00256878"/>
    <w:rsid w:val="00260B03"/>
    <w:rsid w:val="00261ACF"/>
    <w:rsid w:val="00270316"/>
    <w:rsid w:val="002724A5"/>
    <w:rsid w:val="002726BB"/>
    <w:rsid w:val="002761AB"/>
    <w:rsid w:val="002772EB"/>
    <w:rsid w:val="0027790E"/>
    <w:rsid w:val="00280157"/>
    <w:rsid w:val="002802F6"/>
    <w:rsid w:val="002808E3"/>
    <w:rsid w:val="00280F15"/>
    <w:rsid w:val="002810F8"/>
    <w:rsid w:val="002867CC"/>
    <w:rsid w:val="00286AC8"/>
    <w:rsid w:val="00290D97"/>
    <w:rsid w:val="002957D9"/>
    <w:rsid w:val="00296753"/>
    <w:rsid w:val="00296C1E"/>
    <w:rsid w:val="002A16AB"/>
    <w:rsid w:val="002A3761"/>
    <w:rsid w:val="002A4367"/>
    <w:rsid w:val="002A5045"/>
    <w:rsid w:val="002A6942"/>
    <w:rsid w:val="002B0003"/>
    <w:rsid w:val="002C29F7"/>
    <w:rsid w:val="002C4FE0"/>
    <w:rsid w:val="002C5891"/>
    <w:rsid w:val="002C721E"/>
    <w:rsid w:val="002D2E87"/>
    <w:rsid w:val="002D5AD7"/>
    <w:rsid w:val="002D742E"/>
    <w:rsid w:val="002E01A4"/>
    <w:rsid w:val="002E369B"/>
    <w:rsid w:val="002E5D31"/>
    <w:rsid w:val="002F192C"/>
    <w:rsid w:val="002F253D"/>
    <w:rsid w:val="002F476C"/>
    <w:rsid w:val="002F6005"/>
    <w:rsid w:val="00301A3E"/>
    <w:rsid w:val="0030477A"/>
    <w:rsid w:val="00305462"/>
    <w:rsid w:val="00305873"/>
    <w:rsid w:val="00305E5F"/>
    <w:rsid w:val="00307CA6"/>
    <w:rsid w:val="00311C9B"/>
    <w:rsid w:val="003126E7"/>
    <w:rsid w:val="00314353"/>
    <w:rsid w:val="0031474B"/>
    <w:rsid w:val="003169F0"/>
    <w:rsid w:val="00320CF3"/>
    <w:rsid w:val="00322CF5"/>
    <w:rsid w:val="00323938"/>
    <w:rsid w:val="00325809"/>
    <w:rsid w:val="0032623A"/>
    <w:rsid w:val="0032791B"/>
    <w:rsid w:val="00331B0B"/>
    <w:rsid w:val="00333D9A"/>
    <w:rsid w:val="00336D45"/>
    <w:rsid w:val="00337BF1"/>
    <w:rsid w:val="0034002F"/>
    <w:rsid w:val="00340176"/>
    <w:rsid w:val="0034047C"/>
    <w:rsid w:val="00340FE0"/>
    <w:rsid w:val="00345CB6"/>
    <w:rsid w:val="00347A9C"/>
    <w:rsid w:val="00347FFB"/>
    <w:rsid w:val="00350F29"/>
    <w:rsid w:val="0035116C"/>
    <w:rsid w:val="003537DF"/>
    <w:rsid w:val="00354F39"/>
    <w:rsid w:val="00354FAC"/>
    <w:rsid w:val="003578E7"/>
    <w:rsid w:val="00360619"/>
    <w:rsid w:val="00365C73"/>
    <w:rsid w:val="00367046"/>
    <w:rsid w:val="003679ED"/>
    <w:rsid w:val="0037181E"/>
    <w:rsid w:val="00372147"/>
    <w:rsid w:val="003724CE"/>
    <w:rsid w:val="00376563"/>
    <w:rsid w:val="00386C26"/>
    <w:rsid w:val="0039177F"/>
    <w:rsid w:val="00392402"/>
    <w:rsid w:val="0039328C"/>
    <w:rsid w:val="00393887"/>
    <w:rsid w:val="00394BC7"/>
    <w:rsid w:val="0039670C"/>
    <w:rsid w:val="003A070C"/>
    <w:rsid w:val="003A4AA7"/>
    <w:rsid w:val="003A65B6"/>
    <w:rsid w:val="003A6895"/>
    <w:rsid w:val="003B0960"/>
    <w:rsid w:val="003B5A7A"/>
    <w:rsid w:val="003C1035"/>
    <w:rsid w:val="003C2003"/>
    <w:rsid w:val="003C2464"/>
    <w:rsid w:val="003C2CB5"/>
    <w:rsid w:val="003C3B56"/>
    <w:rsid w:val="003C3EB1"/>
    <w:rsid w:val="003C6210"/>
    <w:rsid w:val="003D0853"/>
    <w:rsid w:val="003D1D1C"/>
    <w:rsid w:val="003D250A"/>
    <w:rsid w:val="003D6C36"/>
    <w:rsid w:val="003E0E0D"/>
    <w:rsid w:val="003E10D3"/>
    <w:rsid w:val="003E2748"/>
    <w:rsid w:val="003E35EE"/>
    <w:rsid w:val="003E3ACD"/>
    <w:rsid w:val="003E4E35"/>
    <w:rsid w:val="003E74F2"/>
    <w:rsid w:val="003E7A8B"/>
    <w:rsid w:val="003F1B25"/>
    <w:rsid w:val="003F36D4"/>
    <w:rsid w:val="003F3EC5"/>
    <w:rsid w:val="004038E0"/>
    <w:rsid w:val="00411629"/>
    <w:rsid w:val="00413431"/>
    <w:rsid w:val="004136C1"/>
    <w:rsid w:val="004136F5"/>
    <w:rsid w:val="00414AAC"/>
    <w:rsid w:val="0041716D"/>
    <w:rsid w:val="0042388B"/>
    <w:rsid w:val="00423F3B"/>
    <w:rsid w:val="00426FB8"/>
    <w:rsid w:val="0043272E"/>
    <w:rsid w:val="00432EDF"/>
    <w:rsid w:val="004371C5"/>
    <w:rsid w:val="004405BB"/>
    <w:rsid w:val="00441CC7"/>
    <w:rsid w:val="00442F22"/>
    <w:rsid w:val="004439BE"/>
    <w:rsid w:val="00446430"/>
    <w:rsid w:val="004474C9"/>
    <w:rsid w:val="00447A2F"/>
    <w:rsid w:val="004503FE"/>
    <w:rsid w:val="00455774"/>
    <w:rsid w:val="0045654C"/>
    <w:rsid w:val="0045734E"/>
    <w:rsid w:val="004613A7"/>
    <w:rsid w:val="00461441"/>
    <w:rsid w:val="00463C91"/>
    <w:rsid w:val="004641EE"/>
    <w:rsid w:val="0046727D"/>
    <w:rsid w:val="00472CB7"/>
    <w:rsid w:val="0047478F"/>
    <w:rsid w:val="00474BC7"/>
    <w:rsid w:val="00474FEC"/>
    <w:rsid w:val="00474FF5"/>
    <w:rsid w:val="0047672E"/>
    <w:rsid w:val="0048244F"/>
    <w:rsid w:val="00491F1D"/>
    <w:rsid w:val="00493BF0"/>
    <w:rsid w:val="00495049"/>
    <w:rsid w:val="004A259F"/>
    <w:rsid w:val="004A272A"/>
    <w:rsid w:val="004A38AE"/>
    <w:rsid w:val="004A53EA"/>
    <w:rsid w:val="004A62DD"/>
    <w:rsid w:val="004A7989"/>
    <w:rsid w:val="004B2031"/>
    <w:rsid w:val="004B3A66"/>
    <w:rsid w:val="004B5F53"/>
    <w:rsid w:val="004B672D"/>
    <w:rsid w:val="004B7407"/>
    <w:rsid w:val="004C0126"/>
    <w:rsid w:val="004C13AE"/>
    <w:rsid w:val="004C6BFC"/>
    <w:rsid w:val="004C7EF6"/>
    <w:rsid w:val="004D0324"/>
    <w:rsid w:val="004D4D62"/>
    <w:rsid w:val="004D5EFC"/>
    <w:rsid w:val="004D73FA"/>
    <w:rsid w:val="004D776C"/>
    <w:rsid w:val="004D79D7"/>
    <w:rsid w:val="004D7A17"/>
    <w:rsid w:val="004E01DB"/>
    <w:rsid w:val="004E1973"/>
    <w:rsid w:val="004E4977"/>
    <w:rsid w:val="004E7845"/>
    <w:rsid w:val="004F0BC8"/>
    <w:rsid w:val="004F111D"/>
    <w:rsid w:val="00500C5B"/>
    <w:rsid w:val="00500F22"/>
    <w:rsid w:val="005025BA"/>
    <w:rsid w:val="00505C1C"/>
    <w:rsid w:val="005073F5"/>
    <w:rsid w:val="00507BC8"/>
    <w:rsid w:val="005122D7"/>
    <w:rsid w:val="00512870"/>
    <w:rsid w:val="00513B51"/>
    <w:rsid w:val="005162D8"/>
    <w:rsid w:val="00516BAA"/>
    <w:rsid w:val="00517CF4"/>
    <w:rsid w:val="00521557"/>
    <w:rsid w:val="005236CA"/>
    <w:rsid w:val="00523E9E"/>
    <w:rsid w:val="0052567B"/>
    <w:rsid w:val="00527C10"/>
    <w:rsid w:val="0053038C"/>
    <w:rsid w:val="005333F0"/>
    <w:rsid w:val="00533C84"/>
    <w:rsid w:val="00535FB9"/>
    <w:rsid w:val="00537CC1"/>
    <w:rsid w:val="005407CA"/>
    <w:rsid w:val="00541401"/>
    <w:rsid w:val="005452A3"/>
    <w:rsid w:val="00553BCD"/>
    <w:rsid w:val="00554C60"/>
    <w:rsid w:val="005562D6"/>
    <w:rsid w:val="005621CB"/>
    <w:rsid w:val="00567AFC"/>
    <w:rsid w:val="00570A09"/>
    <w:rsid w:val="005718F5"/>
    <w:rsid w:val="0057420F"/>
    <w:rsid w:val="00574230"/>
    <w:rsid w:val="00574B97"/>
    <w:rsid w:val="00575F1B"/>
    <w:rsid w:val="00576D05"/>
    <w:rsid w:val="00576D3A"/>
    <w:rsid w:val="005772F2"/>
    <w:rsid w:val="00582761"/>
    <w:rsid w:val="0058284A"/>
    <w:rsid w:val="00584B2C"/>
    <w:rsid w:val="00587E0F"/>
    <w:rsid w:val="00591989"/>
    <w:rsid w:val="00593FB7"/>
    <w:rsid w:val="005A25CE"/>
    <w:rsid w:val="005A44FB"/>
    <w:rsid w:val="005A4C03"/>
    <w:rsid w:val="005A5F82"/>
    <w:rsid w:val="005B2096"/>
    <w:rsid w:val="005B2574"/>
    <w:rsid w:val="005B395B"/>
    <w:rsid w:val="005B3E7F"/>
    <w:rsid w:val="005B4989"/>
    <w:rsid w:val="005C1563"/>
    <w:rsid w:val="005C18A9"/>
    <w:rsid w:val="005C24F2"/>
    <w:rsid w:val="005C3DC0"/>
    <w:rsid w:val="005D2BD7"/>
    <w:rsid w:val="005D7B6E"/>
    <w:rsid w:val="005E0CA6"/>
    <w:rsid w:val="005E12AE"/>
    <w:rsid w:val="005E2956"/>
    <w:rsid w:val="005E3815"/>
    <w:rsid w:val="005E3E2B"/>
    <w:rsid w:val="005E43FC"/>
    <w:rsid w:val="005E5C8E"/>
    <w:rsid w:val="005F1152"/>
    <w:rsid w:val="005F1599"/>
    <w:rsid w:val="005F36D6"/>
    <w:rsid w:val="005F40D1"/>
    <w:rsid w:val="00602B1B"/>
    <w:rsid w:val="00605112"/>
    <w:rsid w:val="006078BF"/>
    <w:rsid w:val="00607BA2"/>
    <w:rsid w:val="006103FD"/>
    <w:rsid w:val="006115F0"/>
    <w:rsid w:val="0061244B"/>
    <w:rsid w:val="00612D06"/>
    <w:rsid w:val="00615627"/>
    <w:rsid w:val="00615A77"/>
    <w:rsid w:val="006162B0"/>
    <w:rsid w:val="0061659B"/>
    <w:rsid w:val="006201F3"/>
    <w:rsid w:val="00620718"/>
    <w:rsid w:val="00620CE1"/>
    <w:rsid w:val="0062110E"/>
    <w:rsid w:val="00621F3D"/>
    <w:rsid w:val="00622928"/>
    <w:rsid w:val="00623BA7"/>
    <w:rsid w:val="006277C5"/>
    <w:rsid w:val="006343F4"/>
    <w:rsid w:val="006352F4"/>
    <w:rsid w:val="00635574"/>
    <w:rsid w:val="00636271"/>
    <w:rsid w:val="00637A8E"/>
    <w:rsid w:val="00637EFF"/>
    <w:rsid w:val="006443C1"/>
    <w:rsid w:val="006447B9"/>
    <w:rsid w:val="00645115"/>
    <w:rsid w:val="00655541"/>
    <w:rsid w:val="006570A3"/>
    <w:rsid w:val="00661B05"/>
    <w:rsid w:val="00661F55"/>
    <w:rsid w:val="006638A2"/>
    <w:rsid w:val="00663E2F"/>
    <w:rsid w:val="006647A8"/>
    <w:rsid w:val="00666585"/>
    <w:rsid w:val="0067470F"/>
    <w:rsid w:val="00680741"/>
    <w:rsid w:val="00680CF3"/>
    <w:rsid w:val="00680E02"/>
    <w:rsid w:val="0068156A"/>
    <w:rsid w:val="0068301C"/>
    <w:rsid w:val="00685303"/>
    <w:rsid w:val="00686493"/>
    <w:rsid w:val="006876F3"/>
    <w:rsid w:val="006960AB"/>
    <w:rsid w:val="00697A28"/>
    <w:rsid w:val="00697B6E"/>
    <w:rsid w:val="006A0C09"/>
    <w:rsid w:val="006A3AE3"/>
    <w:rsid w:val="006A6A15"/>
    <w:rsid w:val="006A7F44"/>
    <w:rsid w:val="006B2AA2"/>
    <w:rsid w:val="006B4447"/>
    <w:rsid w:val="006C093F"/>
    <w:rsid w:val="006C7F67"/>
    <w:rsid w:val="006D2136"/>
    <w:rsid w:val="006D5885"/>
    <w:rsid w:val="006E2047"/>
    <w:rsid w:val="006E263D"/>
    <w:rsid w:val="006E41A6"/>
    <w:rsid w:val="006E4A51"/>
    <w:rsid w:val="006F0F9E"/>
    <w:rsid w:val="006F1244"/>
    <w:rsid w:val="006F2910"/>
    <w:rsid w:val="006F31B4"/>
    <w:rsid w:val="006F3D2F"/>
    <w:rsid w:val="006F515C"/>
    <w:rsid w:val="00702575"/>
    <w:rsid w:val="007031C9"/>
    <w:rsid w:val="007039BA"/>
    <w:rsid w:val="0070518B"/>
    <w:rsid w:val="00707A47"/>
    <w:rsid w:val="00712467"/>
    <w:rsid w:val="007157FD"/>
    <w:rsid w:val="00720BA4"/>
    <w:rsid w:val="00720E2D"/>
    <w:rsid w:val="007213DD"/>
    <w:rsid w:val="0072370B"/>
    <w:rsid w:val="0072468B"/>
    <w:rsid w:val="007307F8"/>
    <w:rsid w:val="00730E6A"/>
    <w:rsid w:val="00731366"/>
    <w:rsid w:val="00732340"/>
    <w:rsid w:val="00733CD8"/>
    <w:rsid w:val="0073425F"/>
    <w:rsid w:val="007360AB"/>
    <w:rsid w:val="0073666E"/>
    <w:rsid w:val="00740986"/>
    <w:rsid w:val="0074160E"/>
    <w:rsid w:val="00741E63"/>
    <w:rsid w:val="007420EF"/>
    <w:rsid w:val="0074377E"/>
    <w:rsid w:val="00745CB5"/>
    <w:rsid w:val="00746120"/>
    <w:rsid w:val="00746477"/>
    <w:rsid w:val="00747CBC"/>
    <w:rsid w:val="00760CBA"/>
    <w:rsid w:val="00762349"/>
    <w:rsid w:val="00762445"/>
    <w:rsid w:val="00762D1B"/>
    <w:rsid w:val="0077105F"/>
    <w:rsid w:val="00773B40"/>
    <w:rsid w:val="00775591"/>
    <w:rsid w:val="00776313"/>
    <w:rsid w:val="00776F64"/>
    <w:rsid w:val="007773FF"/>
    <w:rsid w:val="00782B4F"/>
    <w:rsid w:val="0078435E"/>
    <w:rsid w:val="00785307"/>
    <w:rsid w:val="00785BDB"/>
    <w:rsid w:val="007927DA"/>
    <w:rsid w:val="00792E9E"/>
    <w:rsid w:val="00792F02"/>
    <w:rsid w:val="0079762B"/>
    <w:rsid w:val="00797726"/>
    <w:rsid w:val="007979A9"/>
    <w:rsid w:val="007A1E20"/>
    <w:rsid w:val="007A1E8F"/>
    <w:rsid w:val="007A74DF"/>
    <w:rsid w:val="007B4B58"/>
    <w:rsid w:val="007B6629"/>
    <w:rsid w:val="007C7BDD"/>
    <w:rsid w:val="007D1F1F"/>
    <w:rsid w:val="007D2042"/>
    <w:rsid w:val="007D223B"/>
    <w:rsid w:val="007D5842"/>
    <w:rsid w:val="007D6512"/>
    <w:rsid w:val="007D6834"/>
    <w:rsid w:val="007E7B93"/>
    <w:rsid w:val="007F37B3"/>
    <w:rsid w:val="007F4560"/>
    <w:rsid w:val="007F554E"/>
    <w:rsid w:val="007F6C05"/>
    <w:rsid w:val="007F7180"/>
    <w:rsid w:val="007F7CBE"/>
    <w:rsid w:val="00800E22"/>
    <w:rsid w:val="0081149C"/>
    <w:rsid w:val="008123C9"/>
    <w:rsid w:val="008124E3"/>
    <w:rsid w:val="00812C53"/>
    <w:rsid w:val="0081508B"/>
    <w:rsid w:val="0081649E"/>
    <w:rsid w:val="00817087"/>
    <w:rsid w:val="008173F4"/>
    <w:rsid w:val="00820ECF"/>
    <w:rsid w:val="0082373B"/>
    <w:rsid w:val="0082422A"/>
    <w:rsid w:val="00831D26"/>
    <w:rsid w:val="008337C3"/>
    <w:rsid w:val="00834B32"/>
    <w:rsid w:val="008353C6"/>
    <w:rsid w:val="0083592D"/>
    <w:rsid w:val="00836A97"/>
    <w:rsid w:val="00836B22"/>
    <w:rsid w:val="00844049"/>
    <w:rsid w:val="0084570D"/>
    <w:rsid w:val="00851E88"/>
    <w:rsid w:val="00852B58"/>
    <w:rsid w:val="00852CA8"/>
    <w:rsid w:val="008532B2"/>
    <w:rsid w:val="0085664A"/>
    <w:rsid w:val="0085772A"/>
    <w:rsid w:val="00857AA5"/>
    <w:rsid w:val="008619B5"/>
    <w:rsid w:val="00867171"/>
    <w:rsid w:val="0086769B"/>
    <w:rsid w:val="0088260C"/>
    <w:rsid w:val="00882F2D"/>
    <w:rsid w:val="00883757"/>
    <w:rsid w:val="00890032"/>
    <w:rsid w:val="008920F8"/>
    <w:rsid w:val="00893B37"/>
    <w:rsid w:val="00893F07"/>
    <w:rsid w:val="008965C7"/>
    <w:rsid w:val="0089758D"/>
    <w:rsid w:val="008B0D0F"/>
    <w:rsid w:val="008B53C9"/>
    <w:rsid w:val="008B62A0"/>
    <w:rsid w:val="008B74F3"/>
    <w:rsid w:val="008C15CC"/>
    <w:rsid w:val="008C2434"/>
    <w:rsid w:val="008C69FC"/>
    <w:rsid w:val="008C7552"/>
    <w:rsid w:val="008D0390"/>
    <w:rsid w:val="008D3139"/>
    <w:rsid w:val="008D4FDF"/>
    <w:rsid w:val="008E270A"/>
    <w:rsid w:val="008E5886"/>
    <w:rsid w:val="008E76F2"/>
    <w:rsid w:val="008F11DE"/>
    <w:rsid w:val="008F1709"/>
    <w:rsid w:val="008F41F4"/>
    <w:rsid w:val="008F4DD0"/>
    <w:rsid w:val="008F760C"/>
    <w:rsid w:val="009012F9"/>
    <w:rsid w:val="00902B02"/>
    <w:rsid w:val="00903398"/>
    <w:rsid w:val="00904006"/>
    <w:rsid w:val="00905046"/>
    <w:rsid w:val="0090558D"/>
    <w:rsid w:val="00911A6A"/>
    <w:rsid w:val="00911AA0"/>
    <w:rsid w:val="00911BB6"/>
    <w:rsid w:val="00913F55"/>
    <w:rsid w:val="00914841"/>
    <w:rsid w:val="00914A4A"/>
    <w:rsid w:val="009169C6"/>
    <w:rsid w:val="00920420"/>
    <w:rsid w:val="0092118D"/>
    <w:rsid w:val="0092399A"/>
    <w:rsid w:val="0092555A"/>
    <w:rsid w:val="00930381"/>
    <w:rsid w:val="0093176E"/>
    <w:rsid w:val="00931E2E"/>
    <w:rsid w:val="00934144"/>
    <w:rsid w:val="00937078"/>
    <w:rsid w:val="00941B2D"/>
    <w:rsid w:val="00943626"/>
    <w:rsid w:val="00944653"/>
    <w:rsid w:val="00945056"/>
    <w:rsid w:val="00945555"/>
    <w:rsid w:val="00946FF6"/>
    <w:rsid w:val="00947500"/>
    <w:rsid w:val="00950D4D"/>
    <w:rsid w:val="00952082"/>
    <w:rsid w:val="00954086"/>
    <w:rsid w:val="00954C21"/>
    <w:rsid w:val="0095556C"/>
    <w:rsid w:val="0096262C"/>
    <w:rsid w:val="00962658"/>
    <w:rsid w:val="009647AB"/>
    <w:rsid w:val="00966D87"/>
    <w:rsid w:val="009711FC"/>
    <w:rsid w:val="0097207D"/>
    <w:rsid w:val="009721AC"/>
    <w:rsid w:val="009724EF"/>
    <w:rsid w:val="00973743"/>
    <w:rsid w:val="00974540"/>
    <w:rsid w:val="00975E1F"/>
    <w:rsid w:val="009768B0"/>
    <w:rsid w:val="00980242"/>
    <w:rsid w:val="00981B87"/>
    <w:rsid w:val="00983964"/>
    <w:rsid w:val="00986F81"/>
    <w:rsid w:val="0099052F"/>
    <w:rsid w:val="00990AE8"/>
    <w:rsid w:val="009929E5"/>
    <w:rsid w:val="00993FEE"/>
    <w:rsid w:val="009963D6"/>
    <w:rsid w:val="00997146"/>
    <w:rsid w:val="00997171"/>
    <w:rsid w:val="009A0965"/>
    <w:rsid w:val="009A26B6"/>
    <w:rsid w:val="009A2A04"/>
    <w:rsid w:val="009A3938"/>
    <w:rsid w:val="009A4978"/>
    <w:rsid w:val="009A6A88"/>
    <w:rsid w:val="009A6E12"/>
    <w:rsid w:val="009B012E"/>
    <w:rsid w:val="009B0ADF"/>
    <w:rsid w:val="009B4348"/>
    <w:rsid w:val="009B4419"/>
    <w:rsid w:val="009B62FE"/>
    <w:rsid w:val="009B6836"/>
    <w:rsid w:val="009B6A2B"/>
    <w:rsid w:val="009B737F"/>
    <w:rsid w:val="009C4C80"/>
    <w:rsid w:val="009C708E"/>
    <w:rsid w:val="009C7BDE"/>
    <w:rsid w:val="009D50B8"/>
    <w:rsid w:val="009D664B"/>
    <w:rsid w:val="009D6F95"/>
    <w:rsid w:val="009E1B39"/>
    <w:rsid w:val="009E5773"/>
    <w:rsid w:val="009E5E03"/>
    <w:rsid w:val="009F1ED6"/>
    <w:rsid w:val="009F3739"/>
    <w:rsid w:val="009F3A0B"/>
    <w:rsid w:val="009F3ADA"/>
    <w:rsid w:val="009F3D5F"/>
    <w:rsid w:val="009F579C"/>
    <w:rsid w:val="009F5FAF"/>
    <w:rsid w:val="009F72F8"/>
    <w:rsid w:val="00A047B7"/>
    <w:rsid w:val="00A04FB6"/>
    <w:rsid w:val="00A058AC"/>
    <w:rsid w:val="00A06A67"/>
    <w:rsid w:val="00A17F97"/>
    <w:rsid w:val="00A20071"/>
    <w:rsid w:val="00A260A5"/>
    <w:rsid w:val="00A26C92"/>
    <w:rsid w:val="00A32179"/>
    <w:rsid w:val="00A404EB"/>
    <w:rsid w:val="00A41FB5"/>
    <w:rsid w:val="00A4309E"/>
    <w:rsid w:val="00A43819"/>
    <w:rsid w:val="00A43B9D"/>
    <w:rsid w:val="00A44519"/>
    <w:rsid w:val="00A476D7"/>
    <w:rsid w:val="00A52060"/>
    <w:rsid w:val="00A52DCA"/>
    <w:rsid w:val="00A53571"/>
    <w:rsid w:val="00A55394"/>
    <w:rsid w:val="00A560E9"/>
    <w:rsid w:val="00A562EF"/>
    <w:rsid w:val="00A62443"/>
    <w:rsid w:val="00A63E00"/>
    <w:rsid w:val="00A6466B"/>
    <w:rsid w:val="00A704F0"/>
    <w:rsid w:val="00A716DC"/>
    <w:rsid w:val="00A730B2"/>
    <w:rsid w:val="00A7372C"/>
    <w:rsid w:val="00A74C97"/>
    <w:rsid w:val="00A7567E"/>
    <w:rsid w:val="00A764EB"/>
    <w:rsid w:val="00A809BB"/>
    <w:rsid w:val="00A816FF"/>
    <w:rsid w:val="00A8459C"/>
    <w:rsid w:val="00A9110B"/>
    <w:rsid w:val="00A9545F"/>
    <w:rsid w:val="00AA488A"/>
    <w:rsid w:val="00AA7BCF"/>
    <w:rsid w:val="00AA7C01"/>
    <w:rsid w:val="00AB11B9"/>
    <w:rsid w:val="00AB3424"/>
    <w:rsid w:val="00AB3B95"/>
    <w:rsid w:val="00AB3CB4"/>
    <w:rsid w:val="00AB3D0A"/>
    <w:rsid w:val="00AB3DAA"/>
    <w:rsid w:val="00AB3E6F"/>
    <w:rsid w:val="00AB4EFA"/>
    <w:rsid w:val="00AB5C3B"/>
    <w:rsid w:val="00AB6F13"/>
    <w:rsid w:val="00AB71FF"/>
    <w:rsid w:val="00AC13C8"/>
    <w:rsid w:val="00AC5371"/>
    <w:rsid w:val="00AC62E9"/>
    <w:rsid w:val="00AD0492"/>
    <w:rsid w:val="00AD0720"/>
    <w:rsid w:val="00AD1DC9"/>
    <w:rsid w:val="00AD3F11"/>
    <w:rsid w:val="00AD44BC"/>
    <w:rsid w:val="00AD5BEF"/>
    <w:rsid w:val="00AE25D9"/>
    <w:rsid w:val="00AE2880"/>
    <w:rsid w:val="00AE3F42"/>
    <w:rsid w:val="00AE4996"/>
    <w:rsid w:val="00AE4DB7"/>
    <w:rsid w:val="00AF6C66"/>
    <w:rsid w:val="00B0528B"/>
    <w:rsid w:val="00B068D3"/>
    <w:rsid w:val="00B07E3A"/>
    <w:rsid w:val="00B1166D"/>
    <w:rsid w:val="00B11A1A"/>
    <w:rsid w:val="00B13300"/>
    <w:rsid w:val="00B13AF8"/>
    <w:rsid w:val="00B15A3B"/>
    <w:rsid w:val="00B21105"/>
    <w:rsid w:val="00B2153A"/>
    <w:rsid w:val="00B232C9"/>
    <w:rsid w:val="00B271F6"/>
    <w:rsid w:val="00B316DF"/>
    <w:rsid w:val="00B32613"/>
    <w:rsid w:val="00B34140"/>
    <w:rsid w:val="00B3415C"/>
    <w:rsid w:val="00B3503C"/>
    <w:rsid w:val="00B368A3"/>
    <w:rsid w:val="00B417FA"/>
    <w:rsid w:val="00B422DD"/>
    <w:rsid w:val="00B518F2"/>
    <w:rsid w:val="00B52715"/>
    <w:rsid w:val="00B56091"/>
    <w:rsid w:val="00B5723E"/>
    <w:rsid w:val="00B57919"/>
    <w:rsid w:val="00B62407"/>
    <w:rsid w:val="00B62A1C"/>
    <w:rsid w:val="00B63019"/>
    <w:rsid w:val="00B63574"/>
    <w:rsid w:val="00B6532A"/>
    <w:rsid w:val="00B6619F"/>
    <w:rsid w:val="00B661A0"/>
    <w:rsid w:val="00B67F4F"/>
    <w:rsid w:val="00B72594"/>
    <w:rsid w:val="00B73245"/>
    <w:rsid w:val="00B75686"/>
    <w:rsid w:val="00B804D9"/>
    <w:rsid w:val="00B80BA8"/>
    <w:rsid w:val="00B81887"/>
    <w:rsid w:val="00B81BE8"/>
    <w:rsid w:val="00B835C0"/>
    <w:rsid w:val="00B8429C"/>
    <w:rsid w:val="00B84708"/>
    <w:rsid w:val="00B8761B"/>
    <w:rsid w:val="00B90594"/>
    <w:rsid w:val="00B909C2"/>
    <w:rsid w:val="00B90F85"/>
    <w:rsid w:val="00B91C81"/>
    <w:rsid w:val="00B93546"/>
    <w:rsid w:val="00B94866"/>
    <w:rsid w:val="00B94C73"/>
    <w:rsid w:val="00BA10ED"/>
    <w:rsid w:val="00BA31DF"/>
    <w:rsid w:val="00BA7D52"/>
    <w:rsid w:val="00BB1710"/>
    <w:rsid w:val="00BB171B"/>
    <w:rsid w:val="00BB1DCE"/>
    <w:rsid w:val="00BB4E0B"/>
    <w:rsid w:val="00BB567C"/>
    <w:rsid w:val="00BB58E3"/>
    <w:rsid w:val="00BB5C55"/>
    <w:rsid w:val="00BB7503"/>
    <w:rsid w:val="00BC4632"/>
    <w:rsid w:val="00BD10E9"/>
    <w:rsid w:val="00BD193E"/>
    <w:rsid w:val="00BD19EB"/>
    <w:rsid w:val="00BD1D24"/>
    <w:rsid w:val="00BD62D8"/>
    <w:rsid w:val="00BD69B9"/>
    <w:rsid w:val="00BE12C5"/>
    <w:rsid w:val="00BE3417"/>
    <w:rsid w:val="00BF2FB3"/>
    <w:rsid w:val="00BF376F"/>
    <w:rsid w:val="00BF3902"/>
    <w:rsid w:val="00BF658E"/>
    <w:rsid w:val="00C008A4"/>
    <w:rsid w:val="00C00EFE"/>
    <w:rsid w:val="00C00F83"/>
    <w:rsid w:val="00C03EA9"/>
    <w:rsid w:val="00C04031"/>
    <w:rsid w:val="00C05FD3"/>
    <w:rsid w:val="00C07732"/>
    <w:rsid w:val="00C07736"/>
    <w:rsid w:val="00C12F80"/>
    <w:rsid w:val="00C13CE5"/>
    <w:rsid w:val="00C16C6F"/>
    <w:rsid w:val="00C17759"/>
    <w:rsid w:val="00C260C7"/>
    <w:rsid w:val="00C26308"/>
    <w:rsid w:val="00C2764E"/>
    <w:rsid w:val="00C3122B"/>
    <w:rsid w:val="00C32E8A"/>
    <w:rsid w:val="00C36D80"/>
    <w:rsid w:val="00C40B9A"/>
    <w:rsid w:val="00C40BA1"/>
    <w:rsid w:val="00C413C9"/>
    <w:rsid w:val="00C42808"/>
    <w:rsid w:val="00C42CEB"/>
    <w:rsid w:val="00C43F3A"/>
    <w:rsid w:val="00C45E5E"/>
    <w:rsid w:val="00C47753"/>
    <w:rsid w:val="00C502EC"/>
    <w:rsid w:val="00C50579"/>
    <w:rsid w:val="00C55433"/>
    <w:rsid w:val="00C62677"/>
    <w:rsid w:val="00C63055"/>
    <w:rsid w:val="00C70B12"/>
    <w:rsid w:val="00C712B4"/>
    <w:rsid w:val="00C71C0F"/>
    <w:rsid w:val="00C71F36"/>
    <w:rsid w:val="00C760B5"/>
    <w:rsid w:val="00C80399"/>
    <w:rsid w:val="00C82524"/>
    <w:rsid w:val="00C832C3"/>
    <w:rsid w:val="00C83BC1"/>
    <w:rsid w:val="00C846C6"/>
    <w:rsid w:val="00C86BEC"/>
    <w:rsid w:val="00C91656"/>
    <w:rsid w:val="00C93F01"/>
    <w:rsid w:val="00C96757"/>
    <w:rsid w:val="00C9743E"/>
    <w:rsid w:val="00C97CAA"/>
    <w:rsid w:val="00CA0C08"/>
    <w:rsid w:val="00CA3BC8"/>
    <w:rsid w:val="00CA3CC2"/>
    <w:rsid w:val="00CA5060"/>
    <w:rsid w:val="00CA5ABF"/>
    <w:rsid w:val="00CA5F0F"/>
    <w:rsid w:val="00CA6D42"/>
    <w:rsid w:val="00CB2C78"/>
    <w:rsid w:val="00CB2DB5"/>
    <w:rsid w:val="00CB4FA7"/>
    <w:rsid w:val="00CB5E2F"/>
    <w:rsid w:val="00CB65B8"/>
    <w:rsid w:val="00CB6646"/>
    <w:rsid w:val="00CB79E9"/>
    <w:rsid w:val="00CC069D"/>
    <w:rsid w:val="00CC0849"/>
    <w:rsid w:val="00CC3A1C"/>
    <w:rsid w:val="00CC4288"/>
    <w:rsid w:val="00CD06B9"/>
    <w:rsid w:val="00CD320A"/>
    <w:rsid w:val="00CD3FA1"/>
    <w:rsid w:val="00CD64FB"/>
    <w:rsid w:val="00CE2767"/>
    <w:rsid w:val="00CE353B"/>
    <w:rsid w:val="00CE6141"/>
    <w:rsid w:val="00CF1E74"/>
    <w:rsid w:val="00CF2D4F"/>
    <w:rsid w:val="00CF3CA6"/>
    <w:rsid w:val="00CF56BC"/>
    <w:rsid w:val="00CF6757"/>
    <w:rsid w:val="00CF7E98"/>
    <w:rsid w:val="00D024DD"/>
    <w:rsid w:val="00D02504"/>
    <w:rsid w:val="00D027DD"/>
    <w:rsid w:val="00D0308D"/>
    <w:rsid w:val="00D0367C"/>
    <w:rsid w:val="00D04C75"/>
    <w:rsid w:val="00D0662D"/>
    <w:rsid w:val="00D1326B"/>
    <w:rsid w:val="00D134DC"/>
    <w:rsid w:val="00D160D9"/>
    <w:rsid w:val="00D1715E"/>
    <w:rsid w:val="00D20951"/>
    <w:rsid w:val="00D20AC0"/>
    <w:rsid w:val="00D215D8"/>
    <w:rsid w:val="00D310AC"/>
    <w:rsid w:val="00D332CF"/>
    <w:rsid w:val="00D34842"/>
    <w:rsid w:val="00D34BB4"/>
    <w:rsid w:val="00D42DF1"/>
    <w:rsid w:val="00D44B40"/>
    <w:rsid w:val="00D44DF1"/>
    <w:rsid w:val="00D45F90"/>
    <w:rsid w:val="00D465F2"/>
    <w:rsid w:val="00D474E1"/>
    <w:rsid w:val="00D52004"/>
    <w:rsid w:val="00D521C8"/>
    <w:rsid w:val="00D5379C"/>
    <w:rsid w:val="00D54503"/>
    <w:rsid w:val="00D54D80"/>
    <w:rsid w:val="00D632E1"/>
    <w:rsid w:val="00D63990"/>
    <w:rsid w:val="00D63EC5"/>
    <w:rsid w:val="00D64956"/>
    <w:rsid w:val="00D7006D"/>
    <w:rsid w:val="00D71699"/>
    <w:rsid w:val="00D73E25"/>
    <w:rsid w:val="00D745BD"/>
    <w:rsid w:val="00D74BB1"/>
    <w:rsid w:val="00D75A97"/>
    <w:rsid w:val="00D77CB9"/>
    <w:rsid w:val="00D807DA"/>
    <w:rsid w:val="00D811B9"/>
    <w:rsid w:val="00D828F4"/>
    <w:rsid w:val="00D83927"/>
    <w:rsid w:val="00D8432A"/>
    <w:rsid w:val="00D85109"/>
    <w:rsid w:val="00D9069B"/>
    <w:rsid w:val="00D91238"/>
    <w:rsid w:val="00D92048"/>
    <w:rsid w:val="00D92238"/>
    <w:rsid w:val="00D9295C"/>
    <w:rsid w:val="00D93FB1"/>
    <w:rsid w:val="00D9485F"/>
    <w:rsid w:val="00DA2F77"/>
    <w:rsid w:val="00DA3FB2"/>
    <w:rsid w:val="00DA5A6E"/>
    <w:rsid w:val="00DA5DA9"/>
    <w:rsid w:val="00DA7E4F"/>
    <w:rsid w:val="00DB332B"/>
    <w:rsid w:val="00DB4677"/>
    <w:rsid w:val="00DB4E83"/>
    <w:rsid w:val="00DB6184"/>
    <w:rsid w:val="00DB7372"/>
    <w:rsid w:val="00DC6CDF"/>
    <w:rsid w:val="00DD2322"/>
    <w:rsid w:val="00DD24EF"/>
    <w:rsid w:val="00DD2B94"/>
    <w:rsid w:val="00DD2E7E"/>
    <w:rsid w:val="00DD43AA"/>
    <w:rsid w:val="00DD4745"/>
    <w:rsid w:val="00DD5BF7"/>
    <w:rsid w:val="00DD6406"/>
    <w:rsid w:val="00DD6532"/>
    <w:rsid w:val="00DD6F7E"/>
    <w:rsid w:val="00DE3168"/>
    <w:rsid w:val="00DE331D"/>
    <w:rsid w:val="00DE4285"/>
    <w:rsid w:val="00DE683F"/>
    <w:rsid w:val="00DE6929"/>
    <w:rsid w:val="00DE6981"/>
    <w:rsid w:val="00DF307D"/>
    <w:rsid w:val="00DF46EC"/>
    <w:rsid w:val="00DF5BF5"/>
    <w:rsid w:val="00DF762F"/>
    <w:rsid w:val="00E034A2"/>
    <w:rsid w:val="00E05846"/>
    <w:rsid w:val="00E058EA"/>
    <w:rsid w:val="00E07A52"/>
    <w:rsid w:val="00E1066C"/>
    <w:rsid w:val="00E13AAC"/>
    <w:rsid w:val="00E13F0E"/>
    <w:rsid w:val="00E1437A"/>
    <w:rsid w:val="00E15ED3"/>
    <w:rsid w:val="00E242AB"/>
    <w:rsid w:val="00E24F4F"/>
    <w:rsid w:val="00E26AE7"/>
    <w:rsid w:val="00E26E16"/>
    <w:rsid w:val="00E27061"/>
    <w:rsid w:val="00E300BA"/>
    <w:rsid w:val="00E30D60"/>
    <w:rsid w:val="00E319CB"/>
    <w:rsid w:val="00E33089"/>
    <w:rsid w:val="00E33138"/>
    <w:rsid w:val="00E35965"/>
    <w:rsid w:val="00E40210"/>
    <w:rsid w:val="00E4319F"/>
    <w:rsid w:val="00E45660"/>
    <w:rsid w:val="00E46ACA"/>
    <w:rsid w:val="00E50B79"/>
    <w:rsid w:val="00E54273"/>
    <w:rsid w:val="00E542D6"/>
    <w:rsid w:val="00E54B2D"/>
    <w:rsid w:val="00E55295"/>
    <w:rsid w:val="00E56AD1"/>
    <w:rsid w:val="00E612EF"/>
    <w:rsid w:val="00E6290E"/>
    <w:rsid w:val="00E64074"/>
    <w:rsid w:val="00E64DDE"/>
    <w:rsid w:val="00E65599"/>
    <w:rsid w:val="00E67682"/>
    <w:rsid w:val="00E71001"/>
    <w:rsid w:val="00E73AFB"/>
    <w:rsid w:val="00E76E2C"/>
    <w:rsid w:val="00E77CEB"/>
    <w:rsid w:val="00E82738"/>
    <w:rsid w:val="00E83BF6"/>
    <w:rsid w:val="00E8607C"/>
    <w:rsid w:val="00E8683C"/>
    <w:rsid w:val="00E86CDE"/>
    <w:rsid w:val="00E912F4"/>
    <w:rsid w:val="00E925A7"/>
    <w:rsid w:val="00E935BF"/>
    <w:rsid w:val="00E97028"/>
    <w:rsid w:val="00EA06FD"/>
    <w:rsid w:val="00EA09BD"/>
    <w:rsid w:val="00EA33CE"/>
    <w:rsid w:val="00EA3D0D"/>
    <w:rsid w:val="00EA7425"/>
    <w:rsid w:val="00EB11F9"/>
    <w:rsid w:val="00EB4429"/>
    <w:rsid w:val="00EB6BBB"/>
    <w:rsid w:val="00EC18B8"/>
    <w:rsid w:val="00EC30ED"/>
    <w:rsid w:val="00EC4006"/>
    <w:rsid w:val="00EC424C"/>
    <w:rsid w:val="00EC55AF"/>
    <w:rsid w:val="00ED00F3"/>
    <w:rsid w:val="00ED0D9B"/>
    <w:rsid w:val="00ED2BA4"/>
    <w:rsid w:val="00ED3034"/>
    <w:rsid w:val="00ED44CE"/>
    <w:rsid w:val="00ED4928"/>
    <w:rsid w:val="00ED514E"/>
    <w:rsid w:val="00ED6417"/>
    <w:rsid w:val="00ED6E60"/>
    <w:rsid w:val="00ED7B6A"/>
    <w:rsid w:val="00EE0945"/>
    <w:rsid w:val="00EE5051"/>
    <w:rsid w:val="00EE7FDE"/>
    <w:rsid w:val="00EF22F2"/>
    <w:rsid w:val="00EF3C0D"/>
    <w:rsid w:val="00EF3DB2"/>
    <w:rsid w:val="00F0024A"/>
    <w:rsid w:val="00F002E4"/>
    <w:rsid w:val="00F0330C"/>
    <w:rsid w:val="00F037BA"/>
    <w:rsid w:val="00F12F2D"/>
    <w:rsid w:val="00F13B8F"/>
    <w:rsid w:val="00F149C6"/>
    <w:rsid w:val="00F1575E"/>
    <w:rsid w:val="00F15779"/>
    <w:rsid w:val="00F17C20"/>
    <w:rsid w:val="00F20272"/>
    <w:rsid w:val="00F211F9"/>
    <w:rsid w:val="00F21B2A"/>
    <w:rsid w:val="00F26A31"/>
    <w:rsid w:val="00F27DC7"/>
    <w:rsid w:val="00F3056C"/>
    <w:rsid w:val="00F322DB"/>
    <w:rsid w:val="00F3386F"/>
    <w:rsid w:val="00F33E83"/>
    <w:rsid w:val="00F3682E"/>
    <w:rsid w:val="00F4014E"/>
    <w:rsid w:val="00F45247"/>
    <w:rsid w:val="00F45939"/>
    <w:rsid w:val="00F45CB5"/>
    <w:rsid w:val="00F47054"/>
    <w:rsid w:val="00F470D6"/>
    <w:rsid w:val="00F510CE"/>
    <w:rsid w:val="00F51668"/>
    <w:rsid w:val="00F5264B"/>
    <w:rsid w:val="00F55AB0"/>
    <w:rsid w:val="00F60354"/>
    <w:rsid w:val="00F6115B"/>
    <w:rsid w:val="00F6691C"/>
    <w:rsid w:val="00F66C69"/>
    <w:rsid w:val="00F706BB"/>
    <w:rsid w:val="00F72D73"/>
    <w:rsid w:val="00F73864"/>
    <w:rsid w:val="00F73E4C"/>
    <w:rsid w:val="00F754B0"/>
    <w:rsid w:val="00F75D86"/>
    <w:rsid w:val="00F764A3"/>
    <w:rsid w:val="00F77269"/>
    <w:rsid w:val="00F776C4"/>
    <w:rsid w:val="00F8028D"/>
    <w:rsid w:val="00F81C14"/>
    <w:rsid w:val="00F81E9B"/>
    <w:rsid w:val="00F8368B"/>
    <w:rsid w:val="00F84150"/>
    <w:rsid w:val="00FA0DFA"/>
    <w:rsid w:val="00FA1A84"/>
    <w:rsid w:val="00FA20D3"/>
    <w:rsid w:val="00FA2B33"/>
    <w:rsid w:val="00FA2F13"/>
    <w:rsid w:val="00FA5F99"/>
    <w:rsid w:val="00FA6D09"/>
    <w:rsid w:val="00FB0844"/>
    <w:rsid w:val="00FB2561"/>
    <w:rsid w:val="00FB2FFB"/>
    <w:rsid w:val="00FB3723"/>
    <w:rsid w:val="00FB4993"/>
    <w:rsid w:val="00FB5A4C"/>
    <w:rsid w:val="00FB785D"/>
    <w:rsid w:val="00FC2DEA"/>
    <w:rsid w:val="00FC56D6"/>
    <w:rsid w:val="00FC6C37"/>
    <w:rsid w:val="00FC73C8"/>
    <w:rsid w:val="00FD1C8C"/>
    <w:rsid w:val="00FD1C9E"/>
    <w:rsid w:val="00FD1DC5"/>
    <w:rsid w:val="00FD2A60"/>
    <w:rsid w:val="00FD3A85"/>
    <w:rsid w:val="00FD3C77"/>
    <w:rsid w:val="00FD4247"/>
    <w:rsid w:val="00FD77E2"/>
    <w:rsid w:val="00FE03C0"/>
    <w:rsid w:val="00FE0F91"/>
    <w:rsid w:val="00FE1B93"/>
    <w:rsid w:val="00FE2ABB"/>
    <w:rsid w:val="00FE4ECC"/>
    <w:rsid w:val="00FE55FF"/>
    <w:rsid w:val="00FF083D"/>
    <w:rsid w:val="00FF2BE3"/>
    <w:rsid w:val="00FF4C5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D920"/>
  <w15:chartTrackingRefBased/>
  <w15:docId w15:val="{7EB2DE91-861A-4F14-8F06-8AD3468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5809"/>
    <w:pPr>
      <w:spacing w:line="60" w:lineRule="auto"/>
      <w:ind w:leftChars="200" w:left="480"/>
    </w:pPr>
    <w:rPr>
      <w:rFonts w:ascii="Calibri" w:eastAsia="新細明體" w:hAnsi="Calibri" w:cs="Times New Roman"/>
    </w:rPr>
  </w:style>
  <w:style w:type="character" w:styleId="a5">
    <w:name w:val="Hyperlink"/>
    <w:uiPriority w:val="99"/>
    <w:unhideWhenUsed/>
    <w:rsid w:val="00325809"/>
    <w:rPr>
      <w:color w:val="0000FF"/>
      <w:u w:val="single"/>
    </w:rPr>
  </w:style>
  <w:style w:type="table" w:styleId="4-1">
    <w:name w:val="Grid Table 4 Accent 1"/>
    <w:basedOn w:val="a1"/>
    <w:uiPriority w:val="49"/>
    <w:rsid w:val="003258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1">
    <w:name w:val="Grid Table 1 Light Accent 1"/>
    <w:basedOn w:val="a1"/>
    <w:uiPriority w:val="46"/>
    <w:rsid w:val="0032580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A32179"/>
    <w:pPr>
      <w:tabs>
        <w:tab w:val="center" w:pos="4153"/>
        <w:tab w:val="right" w:pos="8306"/>
      </w:tabs>
      <w:snapToGrid w:val="0"/>
    </w:pPr>
    <w:rPr>
      <w:sz w:val="20"/>
      <w:szCs w:val="20"/>
    </w:rPr>
  </w:style>
  <w:style w:type="character" w:customStyle="1" w:styleId="a7">
    <w:name w:val="頁首 字元"/>
    <w:basedOn w:val="a0"/>
    <w:link w:val="a6"/>
    <w:uiPriority w:val="99"/>
    <w:rsid w:val="00A32179"/>
    <w:rPr>
      <w:sz w:val="20"/>
      <w:szCs w:val="20"/>
    </w:rPr>
  </w:style>
  <w:style w:type="paragraph" w:styleId="a8">
    <w:name w:val="footer"/>
    <w:basedOn w:val="a"/>
    <w:link w:val="a9"/>
    <w:uiPriority w:val="99"/>
    <w:unhideWhenUsed/>
    <w:rsid w:val="00A32179"/>
    <w:pPr>
      <w:tabs>
        <w:tab w:val="center" w:pos="4153"/>
        <w:tab w:val="right" w:pos="8306"/>
      </w:tabs>
      <w:snapToGrid w:val="0"/>
    </w:pPr>
    <w:rPr>
      <w:sz w:val="20"/>
      <w:szCs w:val="20"/>
    </w:rPr>
  </w:style>
  <w:style w:type="character" w:customStyle="1" w:styleId="a9">
    <w:name w:val="頁尾 字元"/>
    <w:basedOn w:val="a0"/>
    <w:link w:val="a8"/>
    <w:uiPriority w:val="99"/>
    <w:rsid w:val="00A32179"/>
    <w:rPr>
      <w:sz w:val="20"/>
      <w:szCs w:val="20"/>
    </w:rPr>
  </w:style>
  <w:style w:type="character" w:customStyle="1" w:styleId="a4">
    <w:name w:val="清單段落 字元"/>
    <w:basedOn w:val="a0"/>
    <w:link w:val="a3"/>
    <w:uiPriority w:val="34"/>
    <w:rsid w:val="00983964"/>
    <w:rPr>
      <w:rFonts w:ascii="Calibri" w:eastAsia="新細明體" w:hAnsi="Calibri" w:cs="Times New Roman"/>
    </w:rPr>
  </w:style>
  <w:style w:type="paragraph" w:styleId="aa">
    <w:name w:val="Plain Text"/>
    <w:basedOn w:val="a"/>
    <w:link w:val="ab"/>
    <w:uiPriority w:val="99"/>
    <w:semiHidden/>
    <w:unhideWhenUsed/>
    <w:rsid w:val="000F7D42"/>
    <w:rPr>
      <w:rFonts w:ascii="Calibri" w:eastAsia="新細明體" w:hAnsi="Courier New" w:cs="Courier New"/>
      <w:szCs w:val="24"/>
    </w:rPr>
  </w:style>
  <w:style w:type="character" w:customStyle="1" w:styleId="ab">
    <w:name w:val="純文字 字元"/>
    <w:basedOn w:val="a0"/>
    <w:link w:val="aa"/>
    <w:uiPriority w:val="99"/>
    <w:semiHidden/>
    <w:rsid w:val="000F7D42"/>
    <w:rPr>
      <w:rFonts w:ascii="Calibri" w:eastAsia="新細明體" w:hAnsi="Courier New" w:cs="Courier New"/>
      <w:szCs w:val="24"/>
    </w:rPr>
  </w:style>
  <w:style w:type="table" w:styleId="ac">
    <w:name w:val="Table Grid"/>
    <w:basedOn w:val="a1"/>
    <w:uiPriority w:val="39"/>
    <w:rsid w:val="000F79D3"/>
    <w:rPr>
      <w:rFonts w:eastAsia="Times New Roman"/>
      <w:color w:val="000000" w:themeColor="text1"/>
      <w:kern w:val="0"/>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785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B7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175">
      <w:bodyDiv w:val="1"/>
      <w:marLeft w:val="0"/>
      <w:marRight w:val="0"/>
      <w:marTop w:val="0"/>
      <w:marBottom w:val="0"/>
      <w:divBdr>
        <w:top w:val="none" w:sz="0" w:space="0" w:color="auto"/>
        <w:left w:val="none" w:sz="0" w:space="0" w:color="auto"/>
        <w:bottom w:val="none" w:sz="0" w:space="0" w:color="auto"/>
        <w:right w:val="none" w:sz="0" w:space="0" w:color="auto"/>
      </w:divBdr>
    </w:div>
    <w:div w:id="22294883">
      <w:bodyDiv w:val="1"/>
      <w:marLeft w:val="0"/>
      <w:marRight w:val="0"/>
      <w:marTop w:val="0"/>
      <w:marBottom w:val="0"/>
      <w:divBdr>
        <w:top w:val="none" w:sz="0" w:space="0" w:color="auto"/>
        <w:left w:val="none" w:sz="0" w:space="0" w:color="auto"/>
        <w:bottom w:val="none" w:sz="0" w:space="0" w:color="auto"/>
        <w:right w:val="none" w:sz="0" w:space="0" w:color="auto"/>
      </w:divBdr>
    </w:div>
    <w:div w:id="604773299">
      <w:bodyDiv w:val="1"/>
      <w:marLeft w:val="0"/>
      <w:marRight w:val="0"/>
      <w:marTop w:val="0"/>
      <w:marBottom w:val="0"/>
      <w:divBdr>
        <w:top w:val="none" w:sz="0" w:space="0" w:color="auto"/>
        <w:left w:val="none" w:sz="0" w:space="0" w:color="auto"/>
        <w:bottom w:val="none" w:sz="0" w:space="0" w:color="auto"/>
        <w:right w:val="none" w:sz="0" w:space="0" w:color="auto"/>
      </w:divBdr>
    </w:div>
    <w:div w:id="783622733">
      <w:bodyDiv w:val="1"/>
      <w:marLeft w:val="0"/>
      <w:marRight w:val="0"/>
      <w:marTop w:val="0"/>
      <w:marBottom w:val="0"/>
      <w:divBdr>
        <w:top w:val="none" w:sz="0" w:space="0" w:color="auto"/>
        <w:left w:val="none" w:sz="0" w:space="0" w:color="auto"/>
        <w:bottom w:val="none" w:sz="0" w:space="0" w:color="auto"/>
        <w:right w:val="none" w:sz="0" w:space="0" w:color="auto"/>
      </w:divBdr>
    </w:div>
    <w:div w:id="789783550">
      <w:bodyDiv w:val="1"/>
      <w:marLeft w:val="0"/>
      <w:marRight w:val="0"/>
      <w:marTop w:val="0"/>
      <w:marBottom w:val="0"/>
      <w:divBdr>
        <w:top w:val="none" w:sz="0" w:space="0" w:color="auto"/>
        <w:left w:val="none" w:sz="0" w:space="0" w:color="auto"/>
        <w:bottom w:val="none" w:sz="0" w:space="0" w:color="auto"/>
        <w:right w:val="none" w:sz="0" w:space="0" w:color="auto"/>
      </w:divBdr>
    </w:div>
    <w:div w:id="804542903">
      <w:bodyDiv w:val="1"/>
      <w:marLeft w:val="0"/>
      <w:marRight w:val="0"/>
      <w:marTop w:val="0"/>
      <w:marBottom w:val="0"/>
      <w:divBdr>
        <w:top w:val="none" w:sz="0" w:space="0" w:color="auto"/>
        <w:left w:val="none" w:sz="0" w:space="0" w:color="auto"/>
        <w:bottom w:val="none" w:sz="0" w:space="0" w:color="auto"/>
        <w:right w:val="none" w:sz="0" w:space="0" w:color="auto"/>
      </w:divBdr>
    </w:div>
    <w:div w:id="854003484">
      <w:bodyDiv w:val="1"/>
      <w:marLeft w:val="0"/>
      <w:marRight w:val="0"/>
      <w:marTop w:val="0"/>
      <w:marBottom w:val="0"/>
      <w:divBdr>
        <w:top w:val="none" w:sz="0" w:space="0" w:color="auto"/>
        <w:left w:val="none" w:sz="0" w:space="0" w:color="auto"/>
        <w:bottom w:val="none" w:sz="0" w:space="0" w:color="auto"/>
        <w:right w:val="none" w:sz="0" w:space="0" w:color="auto"/>
      </w:divBdr>
    </w:div>
    <w:div w:id="868643433">
      <w:bodyDiv w:val="1"/>
      <w:marLeft w:val="0"/>
      <w:marRight w:val="0"/>
      <w:marTop w:val="0"/>
      <w:marBottom w:val="0"/>
      <w:divBdr>
        <w:top w:val="none" w:sz="0" w:space="0" w:color="auto"/>
        <w:left w:val="none" w:sz="0" w:space="0" w:color="auto"/>
        <w:bottom w:val="none" w:sz="0" w:space="0" w:color="auto"/>
        <w:right w:val="none" w:sz="0" w:space="0" w:color="auto"/>
      </w:divBdr>
    </w:div>
    <w:div w:id="1167402933">
      <w:bodyDiv w:val="1"/>
      <w:marLeft w:val="0"/>
      <w:marRight w:val="0"/>
      <w:marTop w:val="0"/>
      <w:marBottom w:val="0"/>
      <w:divBdr>
        <w:top w:val="none" w:sz="0" w:space="0" w:color="auto"/>
        <w:left w:val="none" w:sz="0" w:space="0" w:color="auto"/>
        <w:bottom w:val="none" w:sz="0" w:space="0" w:color="auto"/>
        <w:right w:val="none" w:sz="0" w:space="0" w:color="auto"/>
      </w:divBdr>
    </w:div>
    <w:div w:id="1320033938">
      <w:bodyDiv w:val="1"/>
      <w:marLeft w:val="0"/>
      <w:marRight w:val="0"/>
      <w:marTop w:val="0"/>
      <w:marBottom w:val="0"/>
      <w:divBdr>
        <w:top w:val="none" w:sz="0" w:space="0" w:color="auto"/>
        <w:left w:val="none" w:sz="0" w:space="0" w:color="auto"/>
        <w:bottom w:val="none" w:sz="0" w:space="0" w:color="auto"/>
        <w:right w:val="none" w:sz="0" w:space="0" w:color="auto"/>
      </w:divBdr>
    </w:div>
    <w:div w:id="1505510327">
      <w:bodyDiv w:val="1"/>
      <w:marLeft w:val="0"/>
      <w:marRight w:val="0"/>
      <w:marTop w:val="0"/>
      <w:marBottom w:val="0"/>
      <w:divBdr>
        <w:top w:val="none" w:sz="0" w:space="0" w:color="auto"/>
        <w:left w:val="none" w:sz="0" w:space="0" w:color="auto"/>
        <w:bottom w:val="none" w:sz="0" w:space="0" w:color="auto"/>
        <w:right w:val="none" w:sz="0" w:space="0" w:color="auto"/>
      </w:divBdr>
    </w:div>
    <w:div w:id="1542597169">
      <w:bodyDiv w:val="1"/>
      <w:marLeft w:val="0"/>
      <w:marRight w:val="0"/>
      <w:marTop w:val="0"/>
      <w:marBottom w:val="0"/>
      <w:divBdr>
        <w:top w:val="none" w:sz="0" w:space="0" w:color="auto"/>
        <w:left w:val="none" w:sz="0" w:space="0" w:color="auto"/>
        <w:bottom w:val="none" w:sz="0" w:space="0" w:color="auto"/>
        <w:right w:val="none" w:sz="0" w:space="0" w:color="auto"/>
      </w:divBdr>
    </w:div>
    <w:div w:id="1620212996">
      <w:bodyDiv w:val="1"/>
      <w:marLeft w:val="0"/>
      <w:marRight w:val="0"/>
      <w:marTop w:val="0"/>
      <w:marBottom w:val="0"/>
      <w:divBdr>
        <w:top w:val="none" w:sz="0" w:space="0" w:color="auto"/>
        <w:left w:val="none" w:sz="0" w:space="0" w:color="auto"/>
        <w:bottom w:val="none" w:sz="0" w:space="0" w:color="auto"/>
        <w:right w:val="none" w:sz="0" w:space="0" w:color="auto"/>
      </w:divBdr>
    </w:div>
    <w:div w:id="1638996052">
      <w:bodyDiv w:val="1"/>
      <w:marLeft w:val="0"/>
      <w:marRight w:val="0"/>
      <w:marTop w:val="0"/>
      <w:marBottom w:val="0"/>
      <w:divBdr>
        <w:top w:val="none" w:sz="0" w:space="0" w:color="auto"/>
        <w:left w:val="none" w:sz="0" w:space="0" w:color="auto"/>
        <w:bottom w:val="none" w:sz="0" w:space="0" w:color="auto"/>
        <w:right w:val="none" w:sz="0" w:space="0" w:color="auto"/>
      </w:divBdr>
    </w:div>
    <w:div w:id="1759055376">
      <w:bodyDiv w:val="1"/>
      <w:marLeft w:val="0"/>
      <w:marRight w:val="0"/>
      <w:marTop w:val="0"/>
      <w:marBottom w:val="0"/>
      <w:divBdr>
        <w:top w:val="none" w:sz="0" w:space="0" w:color="auto"/>
        <w:left w:val="none" w:sz="0" w:space="0" w:color="auto"/>
        <w:bottom w:val="none" w:sz="0" w:space="0" w:color="auto"/>
        <w:right w:val="none" w:sz="0" w:space="0" w:color="auto"/>
      </w:divBdr>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謝玟嫻 商發院</dc:creator>
  <cp:keywords/>
  <dc:description/>
  <cp:lastModifiedBy>李育儒 商研院</cp:lastModifiedBy>
  <cp:revision>17</cp:revision>
  <cp:lastPrinted>2018-07-04T01:24:00Z</cp:lastPrinted>
  <dcterms:created xsi:type="dcterms:W3CDTF">2018-07-04T01:05:00Z</dcterms:created>
  <dcterms:modified xsi:type="dcterms:W3CDTF">2018-07-05T02:20:00Z</dcterms:modified>
</cp:coreProperties>
</file>