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35"/>
        <w:tblW w:w="1041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418"/>
      </w:tblGrid>
      <w:tr w:rsidR="00325809" w:rsidRPr="00B163CC" w14:paraId="6DE106F1" w14:textId="77777777" w:rsidTr="00CA5ABF">
        <w:trPr>
          <w:trHeight w:val="13452"/>
        </w:trPr>
        <w:tc>
          <w:tcPr>
            <w:tcW w:w="10418" w:type="dxa"/>
          </w:tcPr>
          <w:p w14:paraId="791F94F3" w14:textId="77777777" w:rsidR="00325809" w:rsidRPr="00B163CC" w:rsidRDefault="00325809" w:rsidP="000F79D3">
            <w:pPr>
              <w:widowControl/>
              <w:autoSpaceDE w:val="0"/>
              <w:autoSpaceDN w:val="0"/>
              <w:jc w:val="center"/>
              <w:textAlignment w:val="bottom"/>
              <w:rPr>
                <w:rFonts w:ascii="Times New Roman" w:eastAsia="標楷體" w:hAnsi="Times New Roman" w:cs="Times New Roman"/>
                <w:b/>
                <w:sz w:val="36"/>
                <w:szCs w:val="36"/>
              </w:rPr>
            </w:pPr>
            <w:r w:rsidRPr="00B163CC">
              <w:rPr>
                <w:rFonts w:ascii="Times New Roman" w:eastAsia="標楷體" w:hAnsi="Times New Roman" w:cs="Times New Roman"/>
                <w:b/>
                <w:noProof/>
                <w:sz w:val="22"/>
                <w:lang w:eastAsia="zh-CN"/>
              </w:rPr>
              <w:drawing>
                <wp:anchor distT="0" distB="0" distL="114300" distR="114300" simplePos="0" relativeHeight="251659264" behindDoc="1" locked="0" layoutInCell="1" allowOverlap="1" wp14:anchorId="27EF36EA" wp14:editId="1F1A6B54">
                  <wp:simplePos x="0" y="0"/>
                  <wp:positionH relativeFrom="column">
                    <wp:posOffset>-22225</wp:posOffset>
                  </wp:positionH>
                  <wp:positionV relativeFrom="paragraph">
                    <wp:posOffset>-10795</wp:posOffset>
                  </wp:positionV>
                  <wp:extent cx="1216025" cy="358140"/>
                  <wp:effectExtent l="0" t="0" r="0" b="3810"/>
                  <wp:wrapNone/>
                  <wp:docPr id="1" name="圖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2" descr="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02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3CC">
              <w:rPr>
                <w:rFonts w:ascii="Times New Roman" w:eastAsia="標楷體" w:hAnsi="Times New Roman" w:cs="Times New Roman"/>
                <w:b/>
                <w:sz w:val="32"/>
                <w:szCs w:val="36"/>
              </w:rPr>
              <w:t>財團法人商業發展研究院</w:t>
            </w:r>
          </w:p>
          <w:p w14:paraId="4BA23812" w14:textId="77777777" w:rsidR="00325809" w:rsidRPr="00B163CC" w:rsidRDefault="00325809" w:rsidP="000F79D3">
            <w:pPr>
              <w:widowControl/>
              <w:autoSpaceDE w:val="0"/>
              <w:autoSpaceDN w:val="0"/>
              <w:jc w:val="center"/>
              <w:textAlignment w:val="bottom"/>
              <w:rPr>
                <w:rFonts w:ascii="Times New Roman" w:eastAsia="標楷體" w:hAnsi="Times New Roman" w:cs="Times New Roman"/>
                <w:b/>
                <w:sz w:val="36"/>
                <w:szCs w:val="36"/>
              </w:rPr>
            </w:pPr>
            <w:r w:rsidRPr="00B163CC">
              <w:rPr>
                <w:rFonts w:ascii="Times New Roman" w:eastAsia="標楷體" w:hAnsi="Times New Roman" w:cs="Times New Roman"/>
                <w:b/>
                <w:sz w:val="32"/>
                <w:szCs w:val="36"/>
              </w:rPr>
              <w:t>新聞稿</w:t>
            </w:r>
          </w:p>
          <w:p w14:paraId="294DE5E1" w14:textId="420861DE" w:rsidR="00325809" w:rsidRPr="00B163CC" w:rsidRDefault="00325809" w:rsidP="000F79D3">
            <w:pPr>
              <w:jc w:val="right"/>
              <w:rPr>
                <w:rFonts w:ascii="Times New Roman" w:eastAsia="標楷體" w:hAnsi="Times New Roman" w:cs="Times New Roman"/>
                <w:b/>
                <w:sz w:val="28"/>
                <w:szCs w:val="28"/>
              </w:rPr>
            </w:pPr>
            <w:r w:rsidRPr="00B163CC">
              <w:rPr>
                <w:rFonts w:ascii="Times New Roman" w:eastAsia="標楷體" w:hAnsi="Times New Roman" w:cs="Times New Roman"/>
                <w:sz w:val="56"/>
              </w:rPr>
              <w:t xml:space="preserve">                  </w:t>
            </w:r>
            <w:r w:rsidRPr="00B163CC">
              <w:rPr>
                <w:rFonts w:ascii="Times New Roman" w:eastAsia="標楷體" w:hAnsi="Times New Roman" w:cs="Times New Roman"/>
                <w:b/>
                <w:sz w:val="28"/>
                <w:szCs w:val="28"/>
              </w:rPr>
              <w:t>發布日期：</w:t>
            </w:r>
            <w:r w:rsidR="00834B32" w:rsidRPr="00B163CC">
              <w:rPr>
                <w:rFonts w:ascii="Times New Roman" w:eastAsia="標楷體" w:hAnsi="Times New Roman" w:cs="Times New Roman"/>
                <w:b/>
                <w:sz w:val="28"/>
                <w:szCs w:val="28"/>
              </w:rPr>
              <w:t>10</w:t>
            </w:r>
            <w:r w:rsidR="00E13AAC" w:rsidRPr="00B163CC">
              <w:rPr>
                <w:rFonts w:ascii="Times New Roman" w:eastAsia="標楷體" w:hAnsi="Times New Roman" w:cs="Times New Roman"/>
                <w:b/>
                <w:sz w:val="28"/>
                <w:szCs w:val="28"/>
              </w:rPr>
              <w:t>7</w:t>
            </w:r>
            <w:r w:rsidRPr="00B163CC">
              <w:rPr>
                <w:rFonts w:ascii="Times New Roman" w:eastAsia="標楷體" w:hAnsi="Times New Roman" w:cs="Times New Roman"/>
                <w:b/>
                <w:sz w:val="28"/>
                <w:szCs w:val="28"/>
              </w:rPr>
              <w:t>年</w:t>
            </w:r>
            <w:r w:rsidRPr="00B163CC">
              <w:rPr>
                <w:rFonts w:ascii="Times New Roman" w:eastAsia="標楷體" w:hAnsi="Times New Roman" w:cs="Times New Roman"/>
                <w:b/>
                <w:sz w:val="28"/>
                <w:szCs w:val="28"/>
              </w:rPr>
              <w:t>0</w:t>
            </w:r>
            <w:r w:rsidR="00997EC3" w:rsidRPr="00B163CC">
              <w:rPr>
                <w:rFonts w:ascii="Times New Roman" w:eastAsia="標楷體" w:hAnsi="Times New Roman" w:cs="Times New Roman"/>
                <w:b/>
                <w:sz w:val="28"/>
                <w:szCs w:val="28"/>
                <w:lang w:eastAsia="zh-CN"/>
              </w:rPr>
              <w:t>8</w:t>
            </w:r>
            <w:r w:rsidRPr="00B163CC">
              <w:rPr>
                <w:rFonts w:ascii="Times New Roman" w:eastAsia="標楷體" w:hAnsi="Times New Roman" w:cs="Times New Roman"/>
                <w:b/>
                <w:sz w:val="28"/>
                <w:szCs w:val="28"/>
              </w:rPr>
              <w:t>月</w:t>
            </w:r>
            <w:r w:rsidR="00745CB5" w:rsidRPr="00B163CC">
              <w:rPr>
                <w:rFonts w:ascii="Times New Roman" w:eastAsia="標楷體" w:hAnsi="Times New Roman" w:cs="Times New Roman"/>
                <w:b/>
                <w:sz w:val="28"/>
                <w:szCs w:val="28"/>
              </w:rPr>
              <w:t>0</w:t>
            </w:r>
            <w:r w:rsidR="00500B00" w:rsidRPr="00B163CC">
              <w:rPr>
                <w:rFonts w:ascii="Times New Roman" w:eastAsia="標楷體" w:hAnsi="Times New Roman" w:cs="Times New Roman"/>
                <w:b/>
                <w:sz w:val="28"/>
                <w:szCs w:val="28"/>
                <w:lang w:eastAsia="zh-CN"/>
              </w:rPr>
              <w:t>3</w:t>
            </w:r>
            <w:r w:rsidRPr="00B163CC">
              <w:rPr>
                <w:rFonts w:ascii="Times New Roman" w:eastAsia="標楷體" w:hAnsi="Times New Roman" w:cs="Times New Roman"/>
                <w:b/>
                <w:sz w:val="28"/>
                <w:szCs w:val="28"/>
              </w:rPr>
              <w:t>日</w:t>
            </w:r>
          </w:p>
          <w:p w14:paraId="2C78AC53" w14:textId="77777777" w:rsidR="00004C13" w:rsidRPr="00B163CC" w:rsidRDefault="00004C13" w:rsidP="00004C13">
            <w:pPr>
              <w:jc w:val="center"/>
              <w:rPr>
                <w:rFonts w:ascii="Times New Roman" w:eastAsia="標楷體" w:hAnsi="Times New Roman" w:cs="Times New Roman"/>
                <w:b/>
                <w:sz w:val="28"/>
                <w:szCs w:val="28"/>
              </w:rPr>
            </w:pPr>
          </w:p>
          <w:p w14:paraId="2C77BFD9" w14:textId="46707248" w:rsidR="005F1599" w:rsidRPr="00B163CC" w:rsidRDefault="005F1599" w:rsidP="00004C13">
            <w:pPr>
              <w:adjustRightInd w:val="0"/>
              <w:snapToGrid w:val="0"/>
              <w:spacing w:beforeLines="50" w:before="180" w:afterLines="50" w:after="180"/>
              <w:jc w:val="center"/>
              <w:rPr>
                <w:rFonts w:ascii="Times New Roman" w:eastAsia="標楷體" w:hAnsi="Times New Roman" w:cs="Times New Roman"/>
                <w:b/>
                <w:sz w:val="48"/>
                <w:szCs w:val="48"/>
              </w:rPr>
            </w:pPr>
            <w:r w:rsidRPr="00B163CC">
              <w:rPr>
                <w:rFonts w:ascii="Times New Roman" w:eastAsia="標楷體" w:hAnsi="Times New Roman" w:cs="Times New Roman"/>
                <w:b/>
                <w:sz w:val="48"/>
                <w:szCs w:val="48"/>
              </w:rPr>
              <w:t>台灣</w:t>
            </w:r>
            <w:r w:rsidR="005E1C8B" w:rsidRPr="00B163CC">
              <w:rPr>
                <w:rFonts w:ascii="Times New Roman" w:eastAsia="標楷體" w:hAnsi="Times New Roman" w:cs="Times New Roman"/>
                <w:b/>
                <w:sz w:val="48"/>
                <w:szCs w:val="48"/>
              </w:rPr>
              <w:t>「</w:t>
            </w:r>
            <w:r w:rsidRPr="00B163CC">
              <w:rPr>
                <w:rFonts w:ascii="Times New Roman" w:eastAsia="標楷體" w:hAnsi="Times New Roman" w:cs="Times New Roman"/>
                <w:b/>
                <w:sz w:val="48"/>
                <w:szCs w:val="48"/>
              </w:rPr>
              <w:t>商業服務業</w:t>
            </w:r>
            <w:r w:rsidR="005E1C8B" w:rsidRPr="00B163CC">
              <w:rPr>
                <w:rFonts w:ascii="Times New Roman" w:eastAsia="標楷體" w:hAnsi="Times New Roman" w:cs="Times New Roman"/>
                <w:b/>
                <w:sz w:val="48"/>
                <w:szCs w:val="48"/>
              </w:rPr>
              <w:t>」</w:t>
            </w:r>
            <w:r w:rsidRPr="00B163CC">
              <w:rPr>
                <w:rFonts w:ascii="Times New Roman" w:eastAsia="標楷體" w:hAnsi="Times New Roman" w:cs="Times New Roman"/>
                <w:b/>
                <w:sz w:val="48"/>
                <w:szCs w:val="48"/>
              </w:rPr>
              <w:t>景氣預測</w:t>
            </w:r>
            <w:r w:rsidRPr="00B163CC">
              <w:rPr>
                <w:rFonts w:ascii="Times New Roman" w:eastAsia="標楷體" w:hAnsi="Times New Roman" w:cs="Times New Roman"/>
                <w:b/>
                <w:sz w:val="48"/>
                <w:szCs w:val="48"/>
              </w:rPr>
              <w:t>1</w:t>
            </w:r>
            <w:r w:rsidR="00415AEC" w:rsidRPr="00B163CC">
              <w:rPr>
                <w:rFonts w:ascii="Times New Roman" w:eastAsia="標楷體" w:hAnsi="Times New Roman" w:cs="Times New Roman"/>
                <w:b/>
                <w:sz w:val="48"/>
                <w:szCs w:val="48"/>
                <w:lang w:eastAsia="zh-CN"/>
              </w:rPr>
              <w:t>2</w:t>
            </w:r>
            <w:r w:rsidRPr="00B163CC">
              <w:rPr>
                <w:rFonts w:ascii="Times New Roman" w:eastAsia="標楷體" w:hAnsi="Times New Roman" w:cs="Times New Roman"/>
                <w:b/>
                <w:sz w:val="48"/>
                <w:szCs w:val="48"/>
              </w:rPr>
              <w:t>月</w:t>
            </w:r>
            <w:r w:rsidR="00415AEC" w:rsidRPr="00B163CC">
              <w:rPr>
                <w:rFonts w:ascii="Times New Roman" w:eastAsia="標楷體" w:hAnsi="Times New Roman" w:cs="Times New Roman"/>
                <w:b/>
                <w:sz w:val="48"/>
                <w:szCs w:val="48"/>
              </w:rPr>
              <w:t>續</w:t>
            </w:r>
            <w:r w:rsidRPr="00B163CC">
              <w:rPr>
                <w:rFonts w:ascii="Times New Roman" w:eastAsia="標楷體" w:hAnsi="Times New Roman" w:cs="Times New Roman"/>
                <w:b/>
                <w:sz w:val="48"/>
                <w:szCs w:val="48"/>
              </w:rPr>
              <w:t>降</w:t>
            </w:r>
          </w:p>
          <w:p w14:paraId="0907BD8E" w14:textId="30621F8D" w:rsidR="00945056" w:rsidRPr="00B163CC" w:rsidRDefault="005F1599" w:rsidP="00004C13">
            <w:pPr>
              <w:adjustRightInd w:val="0"/>
              <w:snapToGrid w:val="0"/>
              <w:spacing w:beforeLines="50" w:before="180" w:afterLines="50" w:after="180"/>
              <w:jc w:val="center"/>
              <w:rPr>
                <w:rFonts w:ascii="Times New Roman" w:eastAsia="標楷體" w:hAnsi="Times New Roman" w:cs="Times New Roman"/>
                <w:color w:val="FF0000"/>
                <w:kern w:val="0"/>
                <w:sz w:val="28"/>
                <w:szCs w:val="28"/>
              </w:rPr>
            </w:pPr>
            <w:r w:rsidRPr="00B163CC">
              <w:rPr>
                <w:rFonts w:ascii="Times New Roman" w:eastAsia="標楷體" w:hAnsi="Times New Roman" w:cs="Times New Roman"/>
                <w:b/>
                <w:sz w:val="48"/>
                <w:szCs w:val="48"/>
              </w:rPr>
              <w:t>年底</w:t>
            </w:r>
            <w:r w:rsidR="00FF2D9B" w:rsidRPr="00B163CC">
              <w:rPr>
                <w:rFonts w:ascii="Times New Roman" w:eastAsia="標楷體" w:hAnsi="Times New Roman" w:cs="Times New Roman"/>
                <w:b/>
                <w:sz w:val="48"/>
                <w:szCs w:val="48"/>
              </w:rPr>
              <w:t>走緩</w:t>
            </w:r>
            <w:r w:rsidR="004F41E9" w:rsidRPr="00B163CC">
              <w:rPr>
                <w:rFonts w:ascii="Times New Roman" w:eastAsia="標楷體" w:hAnsi="Times New Roman" w:cs="Times New Roman"/>
                <w:b/>
                <w:sz w:val="48"/>
                <w:szCs w:val="48"/>
              </w:rPr>
              <w:t>持續</w:t>
            </w:r>
          </w:p>
          <w:p w14:paraId="08FF9C46" w14:textId="77777777" w:rsidR="009B737F" w:rsidRPr="00B163CC" w:rsidRDefault="009B737F" w:rsidP="00FB785D">
            <w:pPr>
              <w:adjustRightInd w:val="0"/>
              <w:ind w:firstLineChars="200" w:firstLine="560"/>
              <w:rPr>
                <w:rFonts w:ascii="Times New Roman" w:eastAsia="標楷體" w:hAnsi="Times New Roman" w:cs="Times New Roman"/>
                <w:color w:val="FF0000"/>
                <w:kern w:val="0"/>
                <w:sz w:val="28"/>
                <w:szCs w:val="28"/>
              </w:rPr>
            </w:pPr>
          </w:p>
          <w:p w14:paraId="511AD8EF" w14:textId="77777777" w:rsidR="00FB785D" w:rsidRPr="00B163CC" w:rsidRDefault="00505C1C" w:rsidP="00FB785D">
            <w:pPr>
              <w:adjustRightInd w:val="0"/>
              <w:ind w:firstLineChars="200" w:firstLine="560"/>
              <w:rPr>
                <w:rFonts w:ascii="Times New Roman" w:eastAsia="標楷體" w:hAnsi="Times New Roman" w:cs="Times New Roman"/>
                <w:b/>
                <w:color w:val="FF0000"/>
                <w:sz w:val="28"/>
                <w:szCs w:val="28"/>
                <w:u w:val="single"/>
              </w:rPr>
            </w:pPr>
            <w:r w:rsidRPr="00B163CC">
              <w:rPr>
                <w:rFonts w:ascii="Times New Roman" w:eastAsia="標楷體" w:hAnsi="Times New Roman" w:cs="Times New Roman"/>
                <w:kern w:val="0"/>
                <w:sz w:val="28"/>
                <w:szCs w:val="28"/>
              </w:rPr>
              <w:t>財團法人商業發展研究院</w:t>
            </w:r>
            <w:r w:rsidRPr="00B163CC">
              <w:rPr>
                <w:rFonts w:ascii="Times New Roman" w:eastAsia="標楷體" w:hAnsi="Times New Roman" w:cs="Times New Roman"/>
                <w:kern w:val="0"/>
                <w:sz w:val="28"/>
                <w:szCs w:val="28"/>
              </w:rPr>
              <w:t>Commerce Development Research Institute</w:t>
            </w:r>
            <w:r w:rsidR="000F7D42" w:rsidRPr="00B163CC">
              <w:rPr>
                <w:rFonts w:ascii="Times New Roman" w:eastAsia="標楷體" w:hAnsi="Times New Roman" w:cs="Times New Roman"/>
                <w:kern w:val="0"/>
                <w:sz w:val="28"/>
                <w:szCs w:val="28"/>
              </w:rPr>
              <w:t>（</w:t>
            </w:r>
            <w:r w:rsidRPr="00B163CC">
              <w:rPr>
                <w:rFonts w:ascii="Times New Roman" w:eastAsia="標楷體" w:hAnsi="Times New Roman" w:cs="Times New Roman"/>
                <w:kern w:val="0"/>
                <w:sz w:val="28"/>
                <w:szCs w:val="28"/>
              </w:rPr>
              <w:t>簡稱「商研院</w:t>
            </w:r>
            <w:r w:rsidRPr="00B163CC">
              <w:rPr>
                <w:rFonts w:ascii="Times New Roman" w:eastAsia="標楷體" w:hAnsi="Times New Roman" w:cs="Times New Roman"/>
                <w:kern w:val="0"/>
                <w:sz w:val="28"/>
                <w:szCs w:val="28"/>
              </w:rPr>
              <w:t>CDRI</w:t>
            </w:r>
            <w:r w:rsidRPr="00B163CC">
              <w:rPr>
                <w:rFonts w:ascii="Times New Roman" w:eastAsia="標楷體" w:hAnsi="Times New Roman" w:cs="Times New Roman"/>
                <w:kern w:val="0"/>
                <w:sz w:val="28"/>
                <w:szCs w:val="28"/>
              </w:rPr>
              <w:t>」</w:t>
            </w:r>
            <w:r w:rsidR="000F7D42" w:rsidRPr="00B163CC">
              <w:rPr>
                <w:rFonts w:ascii="Times New Roman" w:eastAsia="標楷體" w:hAnsi="Times New Roman" w:cs="Times New Roman"/>
                <w:kern w:val="0"/>
                <w:sz w:val="28"/>
                <w:szCs w:val="28"/>
              </w:rPr>
              <w:t>）</w:t>
            </w:r>
            <w:r w:rsidR="00F322DB" w:rsidRPr="00B163CC">
              <w:rPr>
                <w:rFonts w:ascii="Times New Roman" w:eastAsia="標楷體" w:hAnsi="Times New Roman" w:cs="Times New Roman"/>
                <w:b/>
                <w:color w:val="FF0000"/>
                <w:sz w:val="28"/>
                <w:szCs w:val="28"/>
                <w:u w:val="single"/>
              </w:rPr>
              <w:t>「台灣商業服務業景氣循環綜合指標」預測台灣商業服務業景氣將在</w:t>
            </w:r>
            <w:r w:rsidR="00F322DB" w:rsidRPr="00B163CC">
              <w:rPr>
                <w:rFonts w:ascii="Times New Roman" w:eastAsia="標楷體" w:hAnsi="Times New Roman" w:cs="Times New Roman"/>
                <w:b/>
                <w:color w:val="FF0000"/>
                <w:sz w:val="28"/>
                <w:szCs w:val="28"/>
                <w:u w:val="single"/>
              </w:rPr>
              <w:t>1</w:t>
            </w:r>
            <w:r w:rsidR="002F2211" w:rsidRPr="00B163CC">
              <w:rPr>
                <w:rFonts w:ascii="Times New Roman" w:eastAsia="標楷體" w:hAnsi="Times New Roman" w:cs="Times New Roman"/>
                <w:b/>
                <w:color w:val="FF0000"/>
                <w:sz w:val="28"/>
                <w:szCs w:val="28"/>
                <w:u w:val="single"/>
                <w:lang w:eastAsia="zh-CN"/>
              </w:rPr>
              <w:t>2</w:t>
            </w:r>
            <w:r w:rsidR="00F322DB" w:rsidRPr="00B163CC">
              <w:rPr>
                <w:rFonts w:ascii="Times New Roman" w:eastAsia="標楷體" w:hAnsi="Times New Roman" w:cs="Times New Roman"/>
                <w:b/>
                <w:color w:val="FF0000"/>
                <w:sz w:val="28"/>
                <w:szCs w:val="28"/>
                <w:u w:val="single"/>
              </w:rPr>
              <w:t>月</w:t>
            </w:r>
            <w:r w:rsidR="008503FC" w:rsidRPr="00B163CC">
              <w:rPr>
                <w:rFonts w:ascii="Times New Roman" w:eastAsia="標楷體" w:hAnsi="Times New Roman" w:cs="Times New Roman"/>
                <w:b/>
                <w:color w:val="FF0000"/>
                <w:sz w:val="28"/>
                <w:szCs w:val="28"/>
                <w:u w:val="single"/>
              </w:rPr>
              <w:t>持續</w:t>
            </w:r>
            <w:r w:rsidR="00107067" w:rsidRPr="00B163CC">
              <w:rPr>
                <w:rFonts w:ascii="Times New Roman" w:eastAsia="標楷體" w:hAnsi="Times New Roman" w:cs="Times New Roman"/>
                <w:b/>
                <w:color w:val="FF0000"/>
                <w:sz w:val="28"/>
                <w:szCs w:val="28"/>
                <w:u w:val="single"/>
              </w:rPr>
              <w:t>第</w:t>
            </w:r>
            <w:r w:rsidR="00204CA6" w:rsidRPr="00B163CC">
              <w:rPr>
                <w:rFonts w:ascii="Times New Roman" w:eastAsia="標楷體" w:hAnsi="Times New Roman" w:cs="Times New Roman"/>
                <w:b/>
                <w:color w:val="FF0000"/>
                <w:sz w:val="28"/>
                <w:szCs w:val="28"/>
                <w:u w:val="single"/>
                <w:lang w:eastAsia="zh-CN"/>
              </w:rPr>
              <w:t>3</w:t>
            </w:r>
            <w:r w:rsidR="00204CA6" w:rsidRPr="00B163CC">
              <w:rPr>
                <w:rFonts w:ascii="Times New Roman" w:eastAsia="標楷體" w:hAnsi="Times New Roman" w:cs="Times New Roman"/>
                <w:b/>
                <w:color w:val="FF0000"/>
                <w:sz w:val="28"/>
                <w:szCs w:val="28"/>
                <w:u w:val="single"/>
              </w:rPr>
              <w:t>個月下</w:t>
            </w:r>
            <w:r w:rsidR="00F322DB" w:rsidRPr="00B163CC">
              <w:rPr>
                <w:rFonts w:ascii="Times New Roman" w:eastAsia="標楷體" w:hAnsi="Times New Roman" w:cs="Times New Roman"/>
                <w:b/>
                <w:color w:val="FF0000"/>
                <w:sz w:val="28"/>
                <w:szCs w:val="28"/>
                <w:u w:val="single"/>
              </w:rPr>
              <w:t>降，</w:t>
            </w:r>
            <w:r w:rsidR="00FE03C0" w:rsidRPr="00B163CC">
              <w:rPr>
                <w:rFonts w:ascii="Times New Roman" w:eastAsia="標楷體" w:hAnsi="Times New Roman" w:cs="Times New Roman"/>
                <w:b/>
                <w:color w:val="FF0000"/>
                <w:sz w:val="28"/>
                <w:szCs w:val="28"/>
                <w:u w:val="single"/>
              </w:rPr>
              <w:t>年底</w:t>
            </w:r>
            <w:r w:rsidR="00541DB4" w:rsidRPr="00B163CC">
              <w:rPr>
                <w:rFonts w:ascii="Times New Roman" w:eastAsia="標楷體" w:hAnsi="Times New Roman" w:cs="Times New Roman"/>
                <w:b/>
                <w:color w:val="FF0000"/>
                <w:sz w:val="28"/>
                <w:szCs w:val="28"/>
                <w:u w:val="single"/>
              </w:rPr>
              <w:t>服務</w:t>
            </w:r>
            <w:r w:rsidR="00AD17EE" w:rsidRPr="00B163CC">
              <w:rPr>
                <w:rFonts w:ascii="Times New Roman" w:eastAsia="標楷體" w:hAnsi="Times New Roman" w:cs="Times New Roman"/>
                <w:b/>
                <w:color w:val="FF0000"/>
                <w:sz w:val="28"/>
                <w:szCs w:val="28"/>
                <w:u w:val="single"/>
              </w:rPr>
              <w:t>業市場</w:t>
            </w:r>
            <w:r w:rsidR="00BF371E" w:rsidRPr="00B163CC">
              <w:rPr>
                <w:rFonts w:ascii="Times New Roman" w:eastAsia="標楷體" w:hAnsi="Times New Roman" w:cs="Times New Roman"/>
                <w:b/>
                <w:color w:val="FF0000"/>
                <w:sz w:val="28"/>
                <w:szCs w:val="28"/>
                <w:u w:val="single"/>
              </w:rPr>
              <w:t>內需</w:t>
            </w:r>
            <w:r w:rsidR="00FE03C0" w:rsidRPr="00B163CC">
              <w:rPr>
                <w:rFonts w:ascii="Times New Roman" w:eastAsia="標楷體" w:hAnsi="Times New Roman" w:cs="Times New Roman"/>
                <w:b/>
                <w:color w:val="FF0000"/>
                <w:sz w:val="28"/>
                <w:szCs w:val="28"/>
                <w:u w:val="single"/>
              </w:rPr>
              <w:t>衰退</w:t>
            </w:r>
            <w:r w:rsidR="00C04E70" w:rsidRPr="00B163CC">
              <w:rPr>
                <w:rFonts w:ascii="Times New Roman" w:eastAsia="標楷體" w:hAnsi="Times New Roman" w:cs="Times New Roman"/>
                <w:b/>
                <w:color w:val="FF0000"/>
                <w:sz w:val="28"/>
                <w:szCs w:val="28"/>
                <w:u w:val="single"/>
              </w:rPr>
              <w:t>風險</w:t>
            </w:r>
            <w:r w:rsidR="00FC301C" w:rsidRPr="00B163CC">
              <w:rPr>
                <w:rFonts w:ascii="Times New Roman" w:eastAsia="標楷體" w:hAnsi="Times New Roman" w:cs="Times New Roman"/>
                <w:b/>
                <w:color w:val="FF0000"/>
                <w:sz w:val="28"/>
                <w:szCs w:val="28"/>
                <w:u w:val="single"/>
              </w:rPr>
              <w:t>提高中</w:t>
            </w:r>
            <w:r w:rsidR="00B74002" w:rsidRPr="00B163CC">
              <w:rPr>
                <w:rFonts w:ascii="Times New Roman" w:eastAsia="標楷體" w:hAnsi="Times New Roman" w:cs="Times New Roman"/>
                <w:b/>
                <w:color w:val="FF0000"/>
                <w:sz w:val="28"/>
                <w:szCs w:val="28"/>
                <w:u w:val="single"/>
              </w:rPr>
              <w:t>，</w:t>
            </w:r>
            <w:r w:rsidR="00847979" w:rsidRPr="00B163CC">
              <w:rPr>
                <w:rFonts w:ascii="Times New Roman" w:eastAsia="標楷體" w:hAnsi="Times New Roman" w:cs="Times New Roman"/>
                <w:b/>
                <w:color w:val="FF0000"/>
                <w:sz w:val="28"/>
                <w:szCs w:val="28"/>
                <w:u w:val="single"/>
              </w:rPr>
              <w:t>建議</w:t>
            </w:r>
            <w:r w:rsidR="00124182" w:rsidRPr="00B163CC">
              <w:rPr>
                <w:rFonts w:ascii="Times New Roman" w:eastAsia="標楷體" w:hAnsi="Times New Roman" w:cs="Times New Roman"/>
                <w:b/>
                <w:color w:val="FF0000"/>
                <w:sz w:val="28"/>
                <w:szCs w:val="28"/>
                <w:u w:val="single"/>
              </w:rPr>
              <w:t>針對已明顯出現</w:t>
            </w:r>
            <w:r w:rsidR="006F12EC" w:rsidRPr="00B163CC">
              <w:rPr>
                <w:rFonts w:ascii="Times New Roman" w:eastAsia="標楷體" w:hAnsi="Times New Roman" w:cs="Times New Roman"/>
                <w:b/>
                <w:color w:val="FF0000"/>
                <w:sz w:val="28"/>
                <w:szCs w:val="28"/>
                <w:u w:val="single"/>
              </w:rPr>
              <w:t>轉弱之</w:t>
            </w:r>
            <w:r w:rsidR="00FE6A26" w:rsidRPr="00B163CC">
              <w:rPr>
                <w:rFonts w:ascii="Times New Roman" w:eastAsia="標楷體" w:hAnsi="Times New Roman" w:cs="Times New Roman"/>
                <w:b/>
                <w:color w:val="FF0000"/>
                <w:sz w:val="28"/>
                <w:szCs w:val="28"/>
                <w:u w:val="single"/>
              </w:rPr>
              <w:t>行業與地區採取</w:t>
            </w:r>
            <w:r w:rsidR="0005642E" w:rsidRPr="00B163CC">
              <w:rPr>
                <w:rFonts w:ascii="Times New Roman" w:eastAsia="標楷體" w:hAnsi="Times New Roman" w:cs="Times New Roman"/>
                <w:b/>
                <w:color w:val="FF0000"/>
                <w:sz w:val="28"/>
                <w:szCs w:val="28"/>
                <w:u w:val="single"/>
              </w:rPr>
              <w:t>較精準式的景氣激勵作為</w:t>
            </w:r>
            <w:r w:rsidR="000F7D42" w:rsidRPr="00B163CC">
              <w:rPr>
                <w:rFonts w:ascii="Times New Roman" w:eastAsia="標楷體" w:hAnsi="Times New Roman" w:cs="Times New Roman"/>
                <w:b/>
                <w:color w:val="FF0000"/>
                <w:sz w:val="28"/>
                <w:szCs w:val="28"/>
                <w:u w:val="single"/>
              </w:rPr>
              <w:t>。</w:t>
            </w:r>
          </w:p>
          <w:p w14:paraId="76E176D8" w14:textId="6722AF1E" w:rsidR="008B1ADD" w:rsidRPr="00294C15" w:rsidRDefault="006025F8" w:rsidP="00FB785D">
            <w:pPr>
              <w:adjustRightInd w:val="0"/>
              <w:ind w:firstLineChars="200" w:firstLine="561"/>
              <w:rPr>
                <w:rFonts w:ascii="Times New Roman" w:eastAsia="標楷體" w:hAnsi="Times New Roman" w:cs="Times New Roman"/>
                <w:b/>
                <w:color w:val="FF0000"/>
                <w:sz w:val="28"/>
                <w:szCs w:val="28"/>
                <w:u w:val="single"/>
                <w:lang w:eastAsia="zh-CN"/>
              </w:rPr>
            </w:pPr>
            <w:r w:rsidRPr="00294C15">
              <w:rPr>
                <w:rFonts w:ascii="Times New Roman" w:eastAsia="標楷體" w:hAnsi="Times New Roman" w:cs="Times New Roman"/>
                <w:b/>
                <w:color w:val="FF0000"/>
                <w:sz w:val="28"/>
                <w:szCs w:val="28"/>
                <w:u w:val="single"/>
                <w:lang w:eastAsia="zh-CN"/>
              </w:rPr>
              <w:t>一</w:t>
            </w:r>
            <w:r w:rsidR="00B163CC" w:rsidRPr="00294C15">
              <w:rPr>
                <w:rFonts w:ascii="Times New Roman" w:eastAsia="標楷體" w:hAnsi="Times New Roman" w:cs="Times New Roman" w:hint="eastAsia"/>
                <w:b/>
                <w:color w:val="FF0000"/>
                <w:sz w:val="28"/>
                <w:szCs w:val="28"/>
                <w:u w:val="single"/>
                <w:lang w:eastAsia="zh-CN"/>
              </w:rPr>
              <w:t>、</w:t>
            </w:r>
            <w:r w:rsidR="00C46DBF" w:rsidRPr="00294C15">
              <w:rPr>
                <w:rFonts w:ascii="Times New Roman" w:eastAsia="標楷體" w:hAnsi="Times New Roman" w:cs="Times New Roman"/>
                <w:b/>
                <w:color w:val="FF0000"/>
                <w:sz w:val="28"/>
                <w:szCs w:val="28"/>
                <w:u w:val="single"/>
                <w:lang w:eastAsia="zh-CN"/>
              </w:rPr>
              <w:t>服務業</w:t>
            </w:r>
            <w:r w:rsidR="00096DB1" w:rsidRPr="00294C15">
              <w:rPr>
                <w:rFonts w:ascii="Times New Roman" w:eastAsia="標楷體" w:hAnsi="Times New Roman" w:cs="Times New Roman"/>
                <w:b/>
                <w:color w:val="FF0000"/>
                <w:sz w:val="28"/>
                <w:szCs w:val="28"/>
                <w:u w:val="single"/>
                <w:lang w:eastAsia="zh-CN"/>
              </w:rPr>
              <w:t>領</w:t>
            </w:r>
            <w:r w:rsidR="00C46DBF" w:rsidRPr="00294C15">
              <w:rPr>
                <w:rFonts w:ascii="Times New Roman" w:eastAsia="標楷體" w:hAnsi="Times New Roman" w:cs="Times New Roman"/>
                <w:b/>
                <w:color w:val="FF0000"/>
                <w:sz w:val="28"/>
                <w:szCs w:val="28"/>
                <w:u w:val="single"/>
                <w:lang w:eastAsia="zh-CN"/>
              </w:rPr>
              <w:t>先指標</w:t>
            </w:r>
            <w:r w:rsidR="00CB0D82" w:rsidRPr="00294C15">
              <w:rPr>
                <w:rFonts w:ascii="Times New Roman" w:eastAsia="標楷體" w:hAnsi="Times New Roman" w:cs="Times New Roman"/>
                <w:b/>
                <w:color w:val="FF0000"/>
                <w:sz w:val="28"/>
                <w:szCs w:val="28"/>
                <w:u w:val="single"/>
                <w:lang w:eastAsia="zh-CN"/>
              </w:rPr>
              <w:t>在</w:t>
            </w:r>
            <w:r w:rsidR="00C46DBF" w:rsidRPr="00294C15">
              <w:rPr>
                <w:rFonts w:ascii="Times New Roman" w:eastAsia="標楷體" w:hAnsi="Times New Roman" w:cs="Times New Roman"/>
                <w:b/>
                <w:color w:val="FF0000"/>
                <w:sz w:val="28"/>
                <w:szCs w:val="28"/>
                <w:u w:val="single"/>
                <w:lang w:eastAsia="zh-CN"/>
              </w:rPr>
              <w:t>第二季</w:t>
            </w:r>
            <w:r w:rsidR="00C023B3" w:rsidRPr="00294C15">
              <w:rPr>
                <w:rFonts w:ascii="Times New Roman" w:eastAsia="標楷體" w:hAnsi="Times New Roman" w:cs="Times New Roman"/>
                <w:b/>
                <w:color w:val="FF0000"/>
                <w:sz w:val="28"/>
                <w:szCs w:val="28"/>
                <w:u w:val="single"/>
                <w:lang w:eastAsia="zh-CN"/>
              </w:rPr>
              <w:t>下降趨勢明顯</w:t>
            </w:r>
          </w:p>
          <w:p w14:paraId="0E0128D0" w14:textId="6FA399B5" w:rsidR="0056159A" w:rsidRPr="00B163CC" w:rsidRDefault="009073D0" w:rsidP="00FB785D">
            <w:pPr>
              <w:adjustRightInd w:val="0"/>
              <w:ind w:firstLineChars="200" w:firstLine="560"/>
              <w:rPr>
                <w:rFonts w:ascii="Times New Roman" w:eastAsia="標楷體" w:hAnsi="Times New Roman" w:cs="Times New Roman"/>
                <w:b/>
                <w:color w:val="FF0000"/>
                <w:sz w:val="28"/>
                <w:szCs w:val="28"/>
                <w:u w:val="single"/>
                <w:lang w:eastAsia="zh-CN"/>
              </w:rPr>
            </w:pPr>
            <w:r w:rsidRPr="00294C15">
              <w:rPr>
                <w:rFonts w:ascii="Times New Roman" w:eastAsia="標楷體" w:hAnsi="Times New Roman" w:cs="Times New Roman"/>
                <w:sz w:val="28"/>
                <w:szCs w:val="28"/>
              </w:rPr>
              <w:t>領先指標綜合指數</w:t>
            </w:r>
            <w:r w:rsidR="00B60530" w:rsidRPr="00294C15">
              <w:rPr>
                <w:rFonts w:ascii="Times New Roman" w:eastAsia="標楷體" w:hAnsi="Times New Roman" w:cs="Times New Roman"/>
                <w:sz w:val="28"/>
                <w:szCs w:val="28"/>
              </w:rPr>
              <w:t>（</w:t>
            </w:r>
            <w:r w:rsidR="000F1281" w:rsidRPr="00294C15">
              <w:rPr>
                <w:rFonts w:ascii="Times New Roman" w:eastAsia="標楷體" w:hAnsi="Times New Roman" w:cs="Times New Roman"/>
                <w:sz w:val="28"/>
                <w:szCs w:val="28"/>
                <w:lang w:eastAsia="zh-CN"/>
              </w:rPr>
              <w:t xml:space="preserve">Cyclical </w:t>
            </w:r>
            <w:r w:rsidR="001E2363" w:rsidRPr="00294C15">
              <w:rPr>
                <w:rFonts w:ascii="Times New Roman" w:eastAsia="標楷體" w:hAnsi="Times New Roman" w:cs="Times New Roman"/>
                <w:sz w:val="28"/>
                <w:szCs w:val="28"/>
                <w:lang w:eastAsia="zh-CN"/>
              </w:rPr>
              <w:t xml:space="preserve">Leading Composite Index for </w:t>
            </w:r>
            <w:r w:rsidR="00FE10C6" w:rsidRPr="00294C15">
              <w:rPr>
                <w:rFonts w:ascii="Times New Roman" w:eastAsia="標楷體" w:hAnsi="Times New Roman" w:cs="Times New Roman"/>
                <w:sz w:val="28"/>
                <w:szCs w:val="28"/>
                <w:lang w:eastAsia="zh-CN"/>
              </w:rPr>
              <w:t>service industries</w:t>
            </w:r>
            <w:r w:rsidR="00FE10C6" w:rsidRPr="00294C15">
              <w:rPr>
                <w:rFonts w:ascii="Times New Roman" w:eastAsia="標楷體" w:hAnsi="Times New Roman" w:cs="Times New Roman"/>
                <w:sz w:val="28"/>
                <w:szCs w:val="28"/>
                <w:lang w:eastAsia="zh-CN"/>
              </w:rPr>
              <w:t>）</w:t>
            </w:r>
            <w:r w:rsidR="00045DEE" w:rsidRPr="00294C15">
              <w:rPr>
                <w:rFonts w:ascii="Times New Roman" w:eastAsia="標楷體" w:hAnsi="Times New Roman" w:cs="Times New Roman"/>
                <w:sz w:val="28"/>
                <w:szCs w:val="28"/>
                <w:lang w:eastAsia="zh-CN"/>
              </w:rPr>
              <w:t>實際值已於</w:t>
            </w:r>
            <w:r w:rsidR="001C62C6" w:rsidRPr="00294C15">
              <w:rPr>
                <w:rFonts w:ascii="Times New Roman" w:eastAsia="標楷體" w:hAnsi="Times New Roman" w:cs="Times New Roman"/>
                <w:sz w:val="28"/>
                <w:szCs w:val="28"/>
                <w:lang w:eastAsia="zh-CN"/>
              </w:rPr>
              <w:t>4</w:t>
            </w:r>
            <w:r w:rsidR="001C62C6" w:rsidRPr="00294C15">
              <w:rPr>
                <w:rFonts w:ascii="Times New Roman" w:eastAsia="標楷體" w:hAnsi="Times New Roman" w:cs="Times New Roman"/>
                <w:sz w:val="28"/>
                <w:szCs w:val="28"/>
                <w:lang w:eastAsia="zh-CN"/>
              </w:rPr>
              <w:t>月與</w:t>
            </w:r>
            <w:r w:rsidR="001C62C6" w:rsidRPr="00294C15">
              <w:rPr>
                <w:rFonts w:ascii="Times New Roman" w:eastAsia="標楷體" w:hAnsi="Times New Roman" w:cs="Times New Roman"/>
                <w:sz w:val="28"/>
                <w:szCs w:val="28"/>
                <w:lang w:eastAsia="zh-CN"/>
              </w:rPr>
              <w:t>5</w:t>
            </w:r>
            <w:r w:rsidR="001C62C6" w:rsidRPr="00294C15">
              <w:rPr>
                <w:rFonts w:ascii="Times New Roman" w:eastAsia="標楷體" w:hAnsi="Times New Roman" w:cs="Times New Roman"/>
                <w:sz w:val="28"/>
                <w:szCs w:val="28"/>
                <w:lang w:eastAsia="zh-CN"/>
              </w:rPr>
              <w:t>月連續下降</w:t>
            </w:r>
            <w:r w:rsidR="00673DF9" w:rsidRPr="00294C15">
              <w:rPr>
                <w:rFonts w:ascii="Times New Roman" w:eastAsia="標楷體" w:hAnsi="Times New Roman" w:cs="Times New Roman"/>
                <w:sz w:val="28"/>
                <w:szCs w:val="28"/>
                <w:lang w:eastAsia="zh-CN"/>
              </w:rPr>
              <w:t>。</w:t>
            </w:r>
            <w:r w:rsidR="00F47DDC" w:rsidRPr="00294C15">
              <w:rPr>
                <w:rFonts w:ascii="Times New Roman" w:eastAsia="標楷體" w:hAnsi="Times New Roman" w:cs="Times New Roman"/>
                <w:sz w:val="28"/>
                <w:szCs w:val="28"/>
                <w:lang w:eastAsia="zh-CN"/>
              </w:rPr>
              <w:t>其中</w:t>
            </w:r>
            <w:r w:rsidR="00802B49" w:rsidRPr="00294C15">
              <w:rPr>
                <w:rFonts w:ascii="Times New Roman" w:eastAsia="標楷體" w:hAnsi="Times New Roman" w:cs="Times New Roman"/>
                <w:sz w:val="28"/>
                <w:szCs w:val="28"/>
                <w:lang w:eastAsia="zh-CN"/>
              </w:rPr>
              <w:t>有三項月資料</w:t>
            </w:r>
            <w:r w:rsidR="00275329" w:rsidRPr="00294C15">
              <w:rPr>
                <w:rFonts w:ascii="Times New Roman" w:eastAsia="標楷體" w:hAnsi="Times New Roman" w:cs="Times New Roman"/>
                <w:sz w:val="28"/>
                <w:szCs w:val="28"/>
                <w:lang w:eastAsia="zh-CN"/>
              </w:rPr>
              <w:t>子指標</w:t>
            </w:r>
            <w:r w:rsidR="00962CC6" w:rsidRPr="00294C15">
              <w:rPr>
                <w:rFonts w:ascii="Times New Roman" w:eastAsia="標楷體" w:hAnsi="Times New Roman" w:cs="Times New Roman"/>
                <w:sz w:val="28"/>
                <w:szCs w:val="28"/>
                <w:lang w:eastAsia="zh-CN"/>
              </w:rPr>
              <w:t>同</w:t>
            </w:r>
            <w:r w:rsidR="00275329" w:rsidRPr="00294C15">
              <w:rPr>
                <w:rFonts w:ascii="Times New Roman" w:eastAsia="標楷體" w:hAnsi="Times New Roman" w:cs="Times New Roman"/>
                <w:sz w:val="28"/>
                <w:szCs w:val="28"/>
                <w:lang w:eastAsia="zh-CN"/>
              </w:rPr>
              <w:t>見</w:t>
            </w:r>
            <w:r w:rsidR="00D5425D" w:rsidRPr="00294C15">
              <w:rPr>
                <w:rFonts w:ascii="Times New Roman" w:eastAsia="標楷體" w:hAnsi="Times New Roman" w:cs="Times New Roman"/>
                <w:sz w:val="28"/>
                <w:szCs w:val="28"/>
                <w:lang w:eastAsia="zh-CN"/>
              </w:rPr>
              <w:t>下</w:t>
            </w:r>
            <w:r w:rsidR="00275329" w:rsidRPr="00294C15">
              <w:rPr>
                <w:rFonts w:ascii="Times New Roman" w:eastAsia="標楷體" w:hAnsi="Times New Roman" w:cs="Times New Roman"/>
                <w:sz w:val="28"/>
                <w:szCs w:val="28"/>
                <w:lang w:eastAsia="zh-CN"/>
              </w:rPr>
              <w:t>降，</w:t>
            </w:r>
            <w:r w:rsidR="00B164C2" w:rsidRPr="00294C15">
              <w:rPr>
                <w:rFonts w:ascii="Times New Roman" w:eastAsia="標楷體" w:hAnsi="Times New Roman" w:cs="Times New Roman"/>
                <w:sz w:val="28"/>
                <w:szCs w:val="28"/>
                <w:lang w:eastAsia="zh-CN"/>
              </w:rPr>
              <w:t>包括失業給付初次</w:t>
            </w:r>
            <w:r w:rsidR="00987847" w:rsidRPr="00294C15">
              <w:rPr>
                <w:rFonts w:ascii="Times New Roman" w:eastAsia="標楷體" w:hAnsi="Times New Roman" w:cs="Times New Roman"/>
                <w:sz w:val="28"/>
                <w:szCs w:val="28"/>
                <w:lang w:eastAsia="zh-CN"/>
              </w:rPr>
              <w:t>認定受理件數（倒</w:t>
            </w:r>
            <w:r w:rsidR="00CC1AB2" w:rsidRPr="00294C15">
              <w:rPr>
                <w:rFonts w:ascii="Times New Roman" w:eastAsia="標楷體" w:hAnsi="Times New Roman" w:cs="Times New Roman"/>
                <w:sz w:val="28"/>
                <w:szCs w:val="28"/>
                <w:lang w:eastAsia="zh-CN"/>
              </w:rPr>
              <w:t>置）</w:t>
            </w:r>
            <w:r w:rsidR="00D32433" w:rsidRPr="00294C15">
              <w:rPr>
                <w:rFonts w:ascii="Times New Roman" w:eastAsia="標楷體" w:hAnsi="Times New Roman" w:cs="Times New Roman"/>
                <w:sz w:val="28"/>
                <w:szCs w:val="28"/>
                <w:lang w:eastAsia="zh-CN"/>
              </w:rPr>
              <w:t>與</w:t>
            </w:r>
            <w:r w:rsidR="00365FF5" w:rsidRPr="00294C15">
              <w:rPr>
                <w:rFonts w:ascii="Times New Roman" w:eastAsia="標楷體" w:hAnsi="Times New Roman" w:cs="Times New Roman"/>
                <w:sz w:val="28"/>
                <w:szCs w:val="28"/>
                <w:lang w:eastAsia="zh-CN"/>
              </w:rPr>
              <w:t>商業服務業</w:t>
            </w:r>
            <w:r w:rsidR="00FA6DF4" w:rsidRPr="00294C15">
              <w:rPr>
                <w:rFonts w:ascii="Times New Roman" w:eastAsia="標楷體" w:hAnsi="Times New Roman" w:cs="Times New Roman"/>
                <w:sz w:val="28"/>
                <w:szCs w:val="28"/>
                <w:lang w:eastAsia="zh-CN"/>
              </w:rPr>
              <w:t>雇員淨進入數</w:t>
            </w:r>
            <w:r w:rsidR="00B70C15" w:rsidRPr="00294C15">
              <w:rPr>
                <w:rFonts w:ascii="Times New Roman" w:eastAsia="標楷體" w:hAnsi="Times New Roman" w:cs="Times New Roman"/>
                <w:sz w:val="28"/>
                <w:szCs w:val="28"/>
                <w:lang w:eastAsia="zh-CN"/>
              </w:rPr>
              <w:t>同時於今年</w:t>
            </w:r>
            <w:r w:rsidR="00B70C15" w:rsidRPr="00294C15">
              <w:rPr>
                <w:rFonts w:ascii="Times New Roman" w:eastAsia="標楷體" w:hAnsi="Times New Roman" w:cs="Times New Roman"/>
                <w:sz w:val="28"/>
                <w:szCs w:val="28"/>
                <w:lang w:eastAsia="zh-CN"/>
              </w:rPr>
              <w:t>1</w:t>
            </w:r>
            <w:r w:rsidR="00B70C15" w:rsidRPr="00294C15">
              <w:rPr>
                <w:rFonts w:ascii="Times New Roman" w:eastAsia="標楷體" w:hAnsi="Times New Roman" w:cs="Times New Roman"/>
                <w:sz w:val="28"/>
                <w:szCs w:val="28"/>
                <w:lang w:eastAsia="zh-CN"/>
              </w:rPr>
              <w:t>月</w:t>
            </w:r>
            <w:r w:rsidR="00CC4B08" w:rsidRPr="00294C15">
              <w:rPr>
                <w:rFonts w:ascii="Times New Roman" w:eastAsia="標楷體" w:hAnsi="Times New Roman" w:cs="Times New Roman"/>
                <w:sz w:val="28"/>
                <w:szCs w:val="28"/>
                <w:lang w:eastAsia="zh-CN"/>
              </w:rPr>
              <w:t>碰頂</w:t>
            </w:r>
            <w:r w:rsidR="00F8395F" w:rsidRPr="00294C15">
              <w:rPr>
                <w:rFonts w:ascii="Times New Roman" w:eastAsia="標楷體" w:hAnsi="Times New Roman" w:cs="Times New Roman"/>
                <w:sz w:val="28"/>
                <w:szCs w:val="28"/>
                <w:lang w:eastAsia="zh-CN"/>
              </w:rPr>
              <w:t>，</w:t>
            </w:r>
            <w:r w:rsidR="00D5425D" w:rsidRPr="00294C15">
              <w:rPr>
                <w:rFonts w:ascii="Times New Roman" w:eastAsia="標楷體" w:hAnsi="Times New Roman" w:cs="Times New Roman"/>
                <w:sz w:val="28"/>
                <w:szCs w:val="28"/>
                <w:lang w:eastAsia="zh-CN"/>
              </w:rPr>
              <w:t>商業服務業股價指數</w:t>
            </w:r>
            <w:r w:rsidR="00010EF9" w:rsidRPr="00294C15">
              <w:rPr>
                <w:rFonts w:ascii="Times New Roman" w:eastAsia="標楷體" w:hAnsi="Times New Roman" w:cs="Times New Roman"/>
                <w:sz w:val="28"/>
                <w:szCs w:val="28"/>
                <w:lang w:eastAsia="zh-CN"/>
              </w:rPr>
              <w:t>於</w:t>
            </w:r>
            <w:r w:rsidR="00010EF9" w:rsidRPr="00294C15">
              <w:rPr>
                <w:rFonts w:ascii="Times New Roman" w:eastAsia="標楷體" w:hAnsi="Times New Roman" w:cs="Times New Roman"/>
                <w:sz w:val="28"/>
                <w:szCs w:val="28"/>
                <w:lang w:eastAsia="zh-CN"/>
              </w:rPr>
              <w:t>4</w:t>
            </w:r>
            <w:r w:rsidR="00010EF9" w:rsidRPr="00294C15">
              <w:rPr>
                <w:rFonts w:ascii="Times New Roman" w:eastAsia="標楷體" w:hAnsi="Times New Roman" w:cs="Times New Roman"/>
                <w:sz w:val="28"/>
                <w:szCs w:val="28"/>
                <w:lang w:eastAsia="zh-CN"/>
              </w:rPr>
              <w:t>月碰頂</w:t>
            </w:r>
            <w:r w:rsidR="0056424A" w:rsidRPr="00294C15">
              <w:rPr>
                <w:rFonts w:ascii="Times New Roman" w:eastAsia="標楷體" w:hAnsi="Times New Roman" w:cs="Times New Roman"/>
                <w:sz w:val="28"/>
                <w:szCs w:val="28"/>
                <w:lang w:eastAsia="zh-CN"/>
              </w:rPr>
              <w:t>，</w:t>
            </w:r>
            <w:r w:rsidR="001F3661" w:rsidRPr="00294C15">
              <w:rPr>
                <w:rFonts w:ascii="Times New Roman" w:eastAsia="標楷體" w:hAnsi="Times New Roman" w:cs="Times New Roman"/>
                <w:sz w:val="28"/>
                <w:szCs w:val="28"/>
                <w:lang w:eastAsia="zh-CN"/>
              </w:rPr>
              <w:t>5</w:t>
            </w:r>
            <w:r w:rsidR="001F3661" w:rsidRPr="00294C15">
              <w:rPr>
                <w:rFonts w:ascii="Times New Roman" w:eastAsia="標楷體" w:hAnsi="Times New Roman" w:cs="Times New Roman"/>
                <w:sz w:val="28"/>
                <w:szCs w:val="28"/>
                <w:lang w:eastAsia="zh-CN"/>
              </w:rPr>
              <w:t>月</w:t>
            </w:r>
            <w:r w:rsidR="0056424A" w:rsidRPr="00294C15">
              <w:rPr>
                <w:rFonts w:ascii="Times New Roman" w:eastAsia="標楷體" w:hAnsi="Times New Roman" w:cs="Times New Roman"/>
                <w:sz w:val="28"/>
                <w:szCs w:val="28"/>
                <w:lang w:eastAsia="zh-CN"/>
              </w:rPr>
              <w:t>首見</w:t>
            </w:r>
            <w:r w:rsidR="001F3661" w:rsidRPr="00294C15">
              <w:rPr>
                <w:rFonts w:ascii="Times New Roman" w:eastAsia="標楷體" w:hAnsi="Times New Roman" w:cs="Times New Roman"/>
                <w:sz w:val="28"/>
                <w:szCs w:val="28"/>
                <w:lang w:eastAsia="zh-CN"/>
              </w:rPr>
              <w:t>轉降</w:t>
            </w:r>
            <w:r w:rsidR="00C351DD" w:rsidRPr="00294C15">
              <w:rPr>
                <w:rFonts w:ascii="Times New Roman" w:eastAsia="標楷體" w:hAnsi="Times New Roman" w:cs="Times New Roman"/>
                <w:sz w:val="28"/>
                <w:szCs w:val="28"/>
                <w:lang w:eastAsia="zh-CN"/>
              </w:rPr>
              <w:t>。</w:t>
            </w:r>
            <w:r w:rsidR="008B2002" w:rsidRPr="00294C15">
              <w:rPr>
                <w:rFonts w:ascii="Times New Roman" w:eastAsia="標楷體" w:hAnsi="Times New Roman" w:cs="Times New Roman"/>
                <w:sz w:val="28"/>
                <w:szCs w:val="28"/>
                <w:lang w:eastAsia="zh-CN"/>
              </w:rPr>
              <w:t>另三項</w:t>
            </w:r>
            <w:bookmarkStart w:id="0" w:name="_GoBack"/>
            <w:bookmarkEnd w:id="0"/>
            <w:r w:rsidR="008B2002" w:rsidRPr="00294C15">
              <w:rPr>
                <w:rFonts w:ascii="Times New Roman" w:eastAsia="標楷體" w:hAnsi="Times New Roman" w:cs="Times New Roman"/>
                <w:sz w:val="28"/>
                <w:szCs w:val="28"/>
                <w:lang w:eastAsia="zh-CN"/>
              </w:rPr>
              <w:t>季資料</w:t>
            </w:r>
            <w:r w:rsidR="009F0068" w:rsidRPr="00294C15">
              <w:rPr>
                <w:rFonts w:ascii="Times New Roman" w:eastAsia="標楷體" w:hAnsi="Times New Roman" w:cs="Times New Roman"/>
                <w:sz w:val="28"/>
                <w:szCs w:val="28"/>
                <w:lang w:eastAsia="zh-CN"/>
              </w:rPr>
              <w:t>推估第二季</w:t>
            </w:r>
            <w:r w:rsidR="00DF42C8" w:rsidRPr="00294C15">
              <w:rPr>
                <w:rFonts w:ascii="Times New Roman" w:eastAsia="標楷體" w:hAnsi="Times New Roman" w:cs="Times New Roman"/>
                <w:sz w:val="28"/>
                <w:szCs w:val="28"/>
                <w:lang w:eastAsia="zh-CN"/>
              </w:rPr>
              <w:t>各月續見上升，包括</w:t>
            </w:r>
            <w:r w:rsidR="006A6255" w:rsidRPr="00294C15">
              <w:rPr>
                <w:rFonts w:ascii="Times New Roman" w:eastAsia="標楷體" w:hAnsi="Times New Roman" w:cs="Times New Roman"/>
                <w:sz w:val="28"/>
                <w:szCs w:val="28"/>
                <w:lang w:eastAsia="zh-CN"/>
              </w:rPr>
              <w:t>運輸及倉儲實質</w:t>
            </w:r>
            <w:r w:rsidR="00A17833" w:rsidRPr="00294C15">
              <w:rPr>
                <w:rFonts w:ascii="Times New Roman" w:eastAsia="標楷體" w:hAnsi="Times New Roman" w:cs="Times New Roman"/>
                <w:sz w:val="28"/>
                <w:szCs w:val="28"/>
                <w:lang w:eastAsia="zh-CN"/>
              </w:rPr>
              <w:t>GDP</w:t>
            </w:r>
            <w:r w:rsidR="00B71EA7" w:rsidRPr="00294C15">
              <w:rPr>
                <w:rFonts w:ascii="Times New Roman" w:eastAsia="標楷體" w:hAnsi="Times New Roman" w:cs="Times New Roman" w:hint="eastAsia"/>
                <w:sz w:val="28"/>
                <w:szCs w:val="28"/>
                <w:lang w:eastAsia="zh-CN"/>
              </w:rPr>
              <w:t>，</w:t>
            </w:r>
            <w:r w:rsidR="00A17833" w:rsidRPr="00294C15">
              <w:rPr>
                <w:rFonts w:ascii="Times New Roman" w:eastAsia="標楷體" w:hAnsi="Times New Roman" w:cs="Times New Roman"/>
                <w:sz w:val="28"/>
                <w:szCs w:val="28"/>
                <w:lang w:eastAsia="zh-CN"/>
              </w:rPr>
              <w:t>於</w:t>
            </w:r>
            <w:r w:rsidR="00974673" w:rsidRPr="00294C15">
              <w:rPr>
                <w:rFonts w:ascii="Times New Roman" w:eastAsia="標楷體" w:hAnsi="Times New Roman" w:cs="Times New Roman"/>
                <w:sz w:val="28"/>
                <w:szCs w:val="28"/>
                <w:lang w:eastAsia="zh-CN"/>
              </w:rPr>
              <w:t>今年</w:t>
            </w:r>
            <w:r w:rsidR="00974673" w:rsidRPr="00294C15">
              <w:rPr>
                <w:rFonts w:ascii="Times New Roman" w:eastAsia="標楷體" w:hAnsi="Times New Roman" w:cs="Times New Roman"/>
                <w:sz w:val="28"/>
                <w:szCs w:val="28"/>
                <w:lang w:eastAsia="zh-CN"/>
              </w:rPr>
              <w:t>4</w:t>
            </w:r>
            <w:r w:rsidR="00974673" w:rsidRPr="00294C15">
              <w:rPr>
                <w:rFonts w:ascii="Times New Roman" w:eastAsia="標楷體" w:hAnsi="Times New Roman" w:cs="Times New Roman"/>
                <w:sz w:val="28"/>
                <w:szCs w:val="28"/>
                <w:lang w:eastAsia="zh-CN"/>
              </w:rPr>
              <w:t>月止降轉升的</w:t>
            </w:r>
            <w:r w:rsidR="004E41CB" w:rsidRPr="00294C15">
              <w:rPr>
                <w:rFonts w:ascii="Times New Roman" w:eastAsia="標楷體" w:hAnsi="Times New Roman" w:cs="Times New Roman"/>
                <w:sz w:val="28"/>
                <w:szCs w:val="28"/>
                <w:lang w:eastAsia="zh-CN"/>
              </w:rPr>
              <w:t>實質民間資本形成</w:t>
            </w:r>
            <w:r w:rsidR="00EF64F5" w:rsidRPr="00294C15">
              <w:rPr>
                <w:rFonts w:ascii="Times New Roman" w:eastAsia="標楷體" w:hAnsi="Times New Roman" w:cs="Times New Roman"/>
                <w:sz w:val="28"/>
                <w:szCs w:val="28"/>
                <w:lang w:eastAsia="zh-CN"/>
              </w:rPr>
              <w:t>，及實質</w:t>
            </w:r>
            <w:r w:rsidR="008A58E6" w:rsidRPr="00294C15">
              <w:rPr>
                <w:rFonts w:ascii="Times New Roman" w:eastAsia="標楷體" w:hAnsi="Times New Roman" w:cs="Times New Roman"/>
                <w:sz w:val="28"/>
                <w:szCs w:val="28"/>
                <w:lang w:eastAsia="zh-CN"/>
              </w:rPr>
              <w:t>服務業貿易收支</w:t>
            </w:r>
            <w:r w:rsidR="001B7BAC" w:rsidRPr="00294C15">
              <w:rPr>
                <w:rFonts w:ascii="Times New Roman" w:eastAsia="標楷體" w:hAnsi="Times New Roman" w:cs="Times New Roman"/>
                <w:sz w:val="28"/>
                <w:szCs w:val="28"/>
                <w:lang w:eastAsia="zh-CN"/>
              </w:rPr>
              <w:t>淨額</w:t>
            </w:r>
            <w:r w:rsidR="00C558E0" w:rsidRPr="00294C15">
              <w:rPr>
                <w:rFonts w:ascii="Times New Roman" w:eastAsia="標楷體" w:hAnsi="Times New Roman" w:cs="Times New Roman"/>
                <w:sz w:val="28"/>
                <w:szCs w:val="28"/>
                <w:lang w:eastAsia="zh-CN"/>
              </w:rPr>
              <w:t>。六項子指標綜合</w:t>
            </w:r>
            <w:r w:rsidR="00417E19" w:rsidRPr="00294C15">
              <w:rPr>
                <w:rFonts w:ascii="Times New Roman" w:eastAsia="標楷體" w:hAnsi="Times New Roman" w:cs="Times New Roman"/>
                <w:sz w:val="28"/>
                <w:szCs w:val="28"/>
                <w:lang w:eastAsia="zh-CN"/>
              </w:rPr>
              <w:t>的指</w:t>
            </w:r>
            <w:r w:rsidR="00C558E0" w:rsidRPr="00294C15">
              <w:rPr>
                <w:rFonts w:ascii="Times New Roman" w:eastAsia="標楷體" w:hAnsi="Times New Roman" w:cs="Times New Roman"/>
                <w:sz w:val="28"/>
                <w:szCs w:val="28"/>
                <w:lang w:eastAsia="zh-CN"/>
              </w:rPr>
              <w:t>數</w:t>
            </w:r>
            <w:r w:rsidR="00707BEC" w:rsidRPr="00294C15">
              <w:rPr>
                <w:rFonts w:ascii="Times New Roman" w:eastAsia="標楷體" w:hAnsi="Times New Roman" w:cs="Times New Roman"/>
                <w:sz w:val="28"/>
                <w:szCs w:val="28"/>
                <w:lang w:eastAsia="zh-CN"/>
              </w:rPr>
              <w:t>乃於</w:t>
            </w:r>
            <w:r w:rsidR="003D5719" w:rsidRPr="00294C15">
              <w:rPr>
                <w:rFonts w:ascii="Times New Roman" w:eastAsia="標楷體" w:hAnsi="Times New Roman" w:cs="Times New Roman"/>
                <w:sz w:val="28"/>
                <w:szCs w:val="28"/>
                <w:lang w:eastAsia="zh-CN"/>
              </w:rPr>
              <w:t>4</w:t>
            </w:r>
            <w:r w:rsidR="003D5719" w:rsidRPr="00294C15">
              <w:rPr>
                <w:rFonts w:ascii="Times New Roman" w:eastAsia="標楷體" w:hAnsi="Times New Roman" w:cs="Times New Roman"/>
                <w:sz w:val="28"/>
                <w:szCs w:val="28"/>
                <w:lang w:eastAsia="zh-CN"/>
              </w:rPr>
              <w:t>月</w:t>
            </w:r>
            <w:r w:rsidR="00725E36" w:rsidRPr="00294C15">
              <w:rPr>
                <w:rFonts w:ascii="Times New Roman" w:eastAsia="標楷體" w:hAnsi="Times New Roman" w:cs="Times New Roman"/>
                <w:sz w:val="28"/>
                <w:szCs w:val="28"/>
                <w:lang w:eastAsia="zh-CN"/>
              </w:rPr>
              <w:t>、</w:t>
            </w:r>
            <w:r w:rsidR="003D5719" w:rsidRPr="00294C15">
              <w:rPr>
                <w:rFonts w:ascii="Times New Roman" w:eastAsia="標楷體" w:hAnsi="Times New Roman" w:cs="Times New Roman"/>
                <w:sz w:val="28"/>
                <w:szCs w:val="28"/>
                <w:lang w:eastAsia="zh-CN"/>
              </w:rPr>
              <w:t>5</w:t>
            </w:r>
            <w:r w:rsidR="00011761" w:rsidRPr="00294C15">
              <w:rPr>
                <w:rFonts w:ascii="Times New Roman" w:eastAsia="標楷體" w:hAnsi="Times New Roman" w:cs="Times New Roman"/>
                <w:sz w:val="28"/>
                <w:szCs w:val="28"/>
                <w:lang w:eastAsia="zh-CN"/>
              </w:rPr>
              <w:t>月</w:t>
            </w:r>
            <w:r w:rsidR="008B32D4" w:rsidRPr="00294C15">
              <w:rPr>
                <w:rFonts w:ascii="Times New Roman" w:eastAsia="標楷體" w:hAnsi="Times New Roman" w:cs="Times New Roman"/>
                <w:sz w:val="28"/>
                <w:szCs w:val="28"/>
                <w:lang w:eastAsia="zh-CN"/>
              </w:rPr>
              <w:t>甚至</w:t>
            </w:r>
            <w:r w:rsidR="008B32D4" w:rsidRPr="00294C15">
              <w:rPr>
                <w:rFonts w:ascii="Times New Roman" w:eastAsia="標楷體" w:hAnsi="Times New Roman" w:cs="Times New Roman"/>
                <w:sz w:val="28"/>
                <w:szCs w:val="28"/>
                <w:lang w:eastAsia="zh-CN"/>
              </w:rPr>
              <w:t>6</w:t>
            </w:r>
            <w:r w:rsidR="008B32D4" w:rsidRPr="00294C15">
              <w:rPr>
                <w:rFonts w:ascii="Times New Roman" w:eastAsia="標楷體" w:hAnsi="Times New Roman" w:cs="Times New Roman"/>
                <w:sz w:val="28"/>
                <w:szCs w:val="28"/>
                <w:lang w:eastAsia="zh-CN"/>
              </w:rPr>
              <w:t>月</w:t>
            </w:r>
            <w:r w:rsidR="00725E36" w:rsidRPr="00294C15">
              <w:rPr>
                <w:rFonts w:ascii="Times New Roman" w:eastAsia="標楷體" w:hAnsi="Times New Roman" w:cs="Times New Roman"/>
                <w:sz w:val="28"/>
                <w:szCs w:val="28"/>
                <w:lang w:eastAsia="zh-CN"/>
              </w:rPr>
              <w:t>（</w:t>
            </w:r>
            <w:r w:rsidR="008B32D4" w:rsidRPr="00294C15">
              <w:rPr>
                <w:rFonts w:ascii="Times New Roman" w:eastAsia="標楷體" w:hAnsi="Times New Roman" w:cs="Times New Roman"/>
                <w:sz w:val="28"/>
                <w:szCs w:val="28"/>
                <w:lang w:eastAsia="zh-CN"/>
              </w:rPr>
              <w:t>推估</w:t>
            </w:r>
            <w:r w:rsidR="00725E36" w:rsidRPr="00294C15">
              <w:rPr>
                <w:rFonts w:ascii="Times New Roman" w:eastAsia="標楷體" w:hAnsi="Times New Roman" w:cs="Times New Roman"/>
                <w:sz w:val="28"/>
                <w:szCs w:val="28"/>
                <w:lang w:eastAsia="zh-CN"/>
              </w:rPr>
              <w:t>）</w:t>
            </w:r>
            <w:r w:rsidR="002D1B24" w:rsidRPr="00294C15">
              <w:rPr>
                <w:rFonts w:ascii="Times New Roman" w:eastAsia="標楷體" w:hAnsi="Times New Roman" w:cs="Times New Roman"/>
                <w:sz w:val="28"/>
                <w:szCs w:val="28"/>
                <w:lang w:eastAsia="zh-CN"/>
              </w:rPr>
              <w:t>連續</w:t>
            </w:r>
            <w:r w:rsidR="00725E36" w:rsidRPr="00294C15">
              <w:rPr>
                <w:rFonts w:ascii="Times New Roman" w:eastAsia="標楷體" w:hAnsi="Times New Roman" w:cs="Times New Roman"/>
                <w:sz w:val="28"/>
                <w:szCs w:val="28"/>
                <w:lang w:eastAsia="zh-CN"/>
              </w:rPr>
              <w:t>下降</w:t>
            </w:r>
            <w:r w:rsidR="000A35A8" w:rsidRPr="00294C15">
              <w:rPr>
                <w:rFonts w:ascii="Times New Roman" w:eastAsia="標楷體" w:hAnsi="Times New Roman" w:cs="Times New Roman"/>
                <w:sz w:val="28"/>
                <w:szCs w:val="28"/>
                <w:lang w:eastAsia="zh-CN"/>
              </w:rPr>
              <w:t>，景氣</w:t>
            </w:r>
            <w:r w:rsidR="00847F0C" w:rsidRPr="00294C15">
              <w:rPr>
                <w:rFonts w:ascii="Times New Roman" w:eastAsia="標楷體" w:hAnsi="Times New Roman" w:cs="Times New Roman"/>
                <w:sz w:val="28"/>
                <w:szCs w:val="28"/>
                <w:lang w:eastAsia="zh-CN"/>
              </w:rPr>
              <w:t>轉緩向衰趨勢預警</w:t>
            </w:r>
            <w:r w:rsidR="007A0775" w:rsidRPr="00294C15">
              <w:rPr>
                <w:rFonts w:ascii="Times New Roman" w:eastAsia="標楷體" w:hAnsi="Times New Roman" w:cs="Times New Roman"/>
                <w:sz w:val="28"/>
                <w:szCs w:val="28"/>
                <w:lang w:eastAsia="zh-CN"/>
              </w:rPr>
              <w:t>訊號</w:t>
            </w:r>
            <w:r w:rsidR="00253E4A" w:rsidRPr="00294C15">
              <w:rPr>
                <w:rFonts w:ascii="Times New Roman" w:eastAsia="標楷體" w:hAnsi="Times New Roman" w:cs="Times New Roman"/>
                <w:sz w:val="28"/>
                <w:szCs w:val="28"/>
                <w:lang w:eastAsia="zh-CN"/>
              </w:rPr>
              <w:t>明顯且穩定</w:t>
            </w:r>
            <w:r w:rsidR="007A0775" w:rsidRPr="00294C15">
              <w:rPr>
                <w:rFonts w:ascii="Times New Roman" w:eastAsia="標楷體" w:hAnsi="Times New Roman" w:cs="Times New Roman"/>
                <w:sz w:val="28"/>
                <w:szCs w:val="28"/>
                <w:lang w:eastAsia="zh-CN"/>
              </w:rPr>
              <w:t>。</w:t>
            </w:r>
            <w:r w:rsidR="005B632F" w:rsidRPr="00294C15">
              <w:rPr>
                <w:rFonts w:ascii="Times New Roman" w:eastAsia="標楷體" w:hAnsi="Times New Roman" w:cs="Times New Roman"/>
                <w:sz w:val="28"/>
                <w:szCs w:val="28"/>
                <w:lang w:eastAsia="zh-CN"/>
              </w:rPr>
              <w:t>預測</w:t>
            </w:r>
            <w:r w:rsidR="00A61A9B" w:rsidRPr="00294C15">
              <w:rPr>
                <w:rFonts w:ascii="Times New Roman" w:eastAsia="標楷體" w:hAnsi="Times New Roman" w:cs="Times New Roman"/>
                <w:sz w:val="28"/>
                <w:szCs w:val="28"/>
                <w:lang w:eastAsia="zh-CN"/>
              </w:rPr>
              <w:t>可</w:t>
            </w:r>
            <w:r w:rsidR="005B632F" w:rsidRPr="00294C15">
              <w:rPr>
                <w:rFonts w:ascii="Times New Roman" w:eastAsia="標楷體" w:hAnsi="Times New Roman" w:cs="Times New Roman"/>
                <w:sz w:val="28"/>
                <w:szCs w:val="28"/>
                <w:lang w:eastAsia="zh-CN"/>
              </w:rPr>
              <w:t>代表</w:t>
            </w:r>
            <w:r w:rsidR="00317428" w:rsidRPr="00294C15">
              <w:rPr>
                <w:rFonts w:ascii="Times New Roman" w:eastAsia="標楷體" w:hAnsi="Times New Roman" w:cs="Times New Roman"/>
                <w:sz w:val="28"/>
                <w:szCs w:val="28"/>
                <w:lang w:eastAsia="zh-CN"/>
              </w:rPr>
              <w:t>未來實際景氣的同行指標綜合指數</w:t>
            </w:r>
            <w:r w:rsidR="00374D95" w:rsidRPr="00294C15">
              <w:rPr>
                <w:rFonts w:ascii="Times New Roman" w:eastAsia="標楷體" w:hAnsi="Times New Roman" w:cs="Times New Roman"/>
                <w:sz w:val="28"/>
                <w:szCs w:val="28"/>
                <w:lang w:eastAsia="zh-CN"/>
              </w:rPr>
              <w:lastRenderedPageBreak/>
              <w:t>極可能</w:t>
            </w:r>
            <w:r w:rsidR="00A61A9B" w:rsidRPr="00294C15">
              <w:rPr>
                <w:rFonts w:ascii="Times New Roman" w:eastAsia="標楷體" w:hAnsi="Times New Roman" w:cs="Times New Roman"/>
                <w:sz w:val="28"/>
                <w:szCs w:val="28"/>
                <w:lang w:eastAsia="zh-CN"/>
              </w:rPr>
              <w:t>於</w:t>
            </w:r>
            <w:r w:rsidR="00A05E7F" w:rsidRPr="00294C15">
              <w:rPr>
                <w:rFonts w:ascii="Times New Roman" w:eastAsia="標楷體" w:hAnsi="Times New Roman" w:cs="Times New Roman"/>
                <w:sz w:val="28"/>
                <w:szCs w:val="28"/>
                <w:lang w:eastAsia="zh-CN"/>
              </w:rPr>
              <w:t>今年</w:t>
            </w:r>
            <w:r w:rsidR="00A05E7F" w:rsidRPr="00294C15">
              <w:rPr>
                <w:rFonts w:ascii="Times New Roman" w:eastAsia="標楷體" w:hAnsi="Times New Roman" w:cs="Times New Roman"/>
                <w:sz w:val="28"/>
                <w:szCs w:val="28"/>
                <w:lang w:eastAsia="zh-CN"/>
              </w:rPr>
              <w:t>10</w:t>
            </w:r>
            <w:r w:rsidR="006E2431" w:rsidRPr="00294C15">
              <w:rPr>
                <w:rFonts w:ascii="Times New Roman" w:eastAsia="標楷體" w:hAnsi="Times New Roman" w:cs="Times New Roman"/>
                <w:sz w:val="28"/>
                <w:szCs w:val="28"/>
                <w:lang w:eastAsia="zh-CN"/>
              </w:rPr>
              <w:t>、</w:t>
            </w:r>
            <w:r w:rsidR="00A05E7F" w:rsidRPr="00294C15">
              <w:rPr>
                <w:rFonts w:ascii="Times New Roman" w:eastAsia="標楷體" w:hAnsi="Times New Roman" w:cs="Times New Roman"/>
                <w:sz w:val="28"/>
                <w:szCs w:val="28"/>
                <w:lang w:eastAsia="zh-CN"/>
              </w:rPr>
              <w:t>11</w:t>
            </w:r>
            <w:r w:rsidR="00A05E7F" w:rsidRPr="00294C15">
              <w:rPr>
                <w:rFonts w:ascii="Times New Roman" w:eastAsia="標楷體" w:hAnsi="Times New Roman" w:cs="Times New Roman"/>
                <w:sz w:val="28"/>
                <w:szCs w:val="28"/>
                <w:lang w:eastAsia="zh-CN"/>
              </w:rPr>
              <w:t>及</w:t>
            </w:r>
            <w:r w:rsidR="00A05E7F" w:rsidRPr="00294C15">
              <w:rPr>
                <w:rFonts w:ascii="Times New Roman" w:eastAsia="標楷體" w:hAnsi="Times New Roman" w:cs="Times New Roman"/>
                <w:sz w:val="28"/>
                <w:szCs w:val="28"/>
                <w:lang w:eastAsia="zh-CN"/>
              </w:rPr>
              <w:t>12</w:t>
            </w:r>
            <w:r w:rsidR="00A05E7F" w:rsidRPr="00294C15">
              <w:rPr>
                <w:rFonts w:ascii="Times New Roman" w:eastAsia="標楷體" w:hAnsi="Times New Roman" w:cs="Times New Roman"/>
                <w:sz w:val="28"/>
                <w:szCs w:val="28"/>
                <w:lang w:eastAsia="zh-CN"/>
              </w:rPr>
              <w:t>月</w:t>
            </w:r>
            <w:r w:rsidR="006E2431" w:rsidRPr="00294C15">
              <w:rPr>
                <w:rFonts w:ascii="Times New Roman" w:eastAsia="標楷體" w:hAnsi="Times New Roman" w:cs="Times New Roman"/>
                <w:sz w:val="28"/>
                <w:szCs w:val="28"/>
                <w:lang w:eastAsia="zh-CN"/>
              </w:rPr>
              <w:t>連續下降。</w:t>
            </w:r>
          </w:p>
          <w:p w14:paraId="2CB43163" w14:textId="4633ACDA" w:rsidR="009B737F" w:rsidRPr="00B163CC" w:rsidRDefault="009B737F" w:rsidP="00FB785D">
            <w:pPr>
              <w:adjustRightInd w:val="0"/>
              <w:ind w:firstLineChars="200" w:firstLine="561"/>
              <w:rPr>
                <w:rFonts w:ascii="Times New Roman" w:eastAsia="標楷體" w:hAnsi="Times New Roman" w:cs="Times New Roman"/>
                <w:b/>
                <w:color w:val="FF0000"/>
                <w:sz w:val="28"/>
                <w:szCs w:val="28"/>
                <w:u w:val="single"/>
              </w:rPr>
            </w:pPr>
          </w:p>
          <w:p w14:paraId="17D7698D" w14:textId="1880F23D" w:rsidR="00FB785D" w:rsidRPr="00B163CC" w:rsidRDefault="00E9399E" w:rsidP="00FB785D">
            <w:pPr>
              <w:adjustRightInd w:val="0"/>
              <w:snapToGrid w:val="0"/>
              <w:jc w:val="center"/>
              <w:rPr>
                <w:rFonts w:ascii="Times New Roman" w:eastAsia="標楷體" w:hAnsi="Times New Roman" w:cs="Times New Roman"/>
                <w:sz w:val="28"/>
                <w:szCs w:val="28"/>
              </w:rPr>
            </w:pPr>
            <w:r w:rsidRPr="00B163CC">
              <w:rPr>
                <w:rFonts w:ascii="Times New Roman" w:eastAsia="標楷體" w:hAnsi="Times New Roman" w:cs="Times New Roman"/>
                <w:noProof/>
                <w:sz w:val="28"/>
                <w:szCs w:val="28"/>
              </w:rPr>
              <w:drawing>
                <wp:inline distT="0" distB="0" distL="0" distR="0" wp14:anchorId="53943175" wp14:editId="773A3B54">
                  <wp:extent cx="6418800" cy="2594902"/>
                  <wp:effectExtent l="0" t="0" r="127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8800" cy="2594902"/>
                          </a:xfrm>
                          <a:prstGeom prst="rect">
                            <a:avLst/>
                          </a:prstGeom>
                          <a:noFill/>
                        </pic:spPr>
                      </pic:pic>
                    </a:graphicData>
                  </a:graphic>
                </wp:inline>
              </w:drawing>
            </w:r>
          </w:p>
          <w:p w14:paraId="3DF8FDBF" w14:textId="4DE3B606" w:rsidR="00FB785D" w:rsidRPr="00B163CC" w:rsidRDefault="00FB785D" w:rsidP="00FB785D">
            <w:pPr>
              <w:adjustRightInd w:val="0"/>
              <w:jc w:val="center"/>
              <w:rPr>
                <w:rFonts w:ascii="Times New Roman" w:eastAsia="標楷體" w:hAnsi="Times New Roman" w:cs="Times New Roman"/>
                <w:b/>
                <w:bCs/>
                <w:color w:val="00B0F0"/>
                <w:sz w:val="28"/>
                <w:szCs w:val="28"/>
              </w:rPr>
            </w:pPr>
            <w:r w:rsidRPr="00B163CC">
              <w:rPr>
                <w:rFonts w:ascii="Times New Roman" w:eastAsia="標楷體" w:hAnsi="Times New Roman" w:cs="Times New Roman"/>
                <w:b/>
                <w:color w:val="0000FF"/>
                <w:sz w:val="28"/>
                <w:szCs w:val="28"/>
              </w:rPr>
              <w:t>圖</w:t>
            </w:r>
            <w:r w:rsidR="00B163CC">
              <w:rPr>
                <w:rFonts w:ascii="Times New Roman" w:eastAsia="標楷體" w:hAnsi="Times New Roman" w:cs="Times New Roman" w:hint="eastAsia"/>
                <w:b/>
                <w:color w:val="0000FF"/>
                <w:sz w:val="28"/>
                <w:szCs w:val="28"/>
              </w:rPr>
              <w:t>、</w:t>
            </w:r>
            <w:r w:rsidR="0028262E" w:rsidRPr="00B163CC">
              <w:rPr>
                <w:rFonts w:ascii="Times New Roman" w:eastAsia="標楷體" w:hAnsi="Times New Roman" w:cs="Times New Roman"/>
                <w:b/>
                <w:bCs/>
                <w:color w:val="0000FF"/>
                <w:sz w:val="28"/>
                <w:szCs w:val="28"/>
              </w:rPr>
              <w:t>同行指標</w:t>
            </w:r>
            <w:r w:rsidR="00B14A82" w:rsidRPr="00B163CC">
              <w:rPr>
                <w:rFonts w:ascii="Times New Roman" w:eastAsia="標楷體" w:hAnsi="Times New Roman" w:cs="Times New Roman"/>
                <w:b/>
                <w:bCs/>
                <w:color w:val="0000FF"/>
                <w:sz w:val="28"/>
                <w:szCs w:val="28"/>
              </w:rPr>
              <w:t>循環指數近期走勢與預測</w:t>
            </w:r>
          </w:p>
          <w:p w14:paraId="73BFDF0B" w14:textId="0910335A" w:rsidR="002A6942" w:rsidRPr="00B163CC" w:rsidRDefault="006D2136" w:rsidP="007041B2">
            <w:pPr>
              <w:adjustRightInd w:val="0"/>
              <w:rPr>
                <w:rFonts w:ascii="Times New Roman" w:eastAsia="標楷體" w:hAnsi="Times New Roman" w:cs="Times New Roman"/>
                <w:sz w:val="28"/>
                <w:szCs w:val="28"/>
                <w:lang w:eastAsia="zh-CN"/>
              </w:rPr>
            </w:pPr>
            <w:r w:rsidRPr="00B163CC">
              <w:rPr>
                <w:rFonts w:ascii="Times New Roman" w:eastAsia="標楷體" w:hAnsi="Times New Roman" w:cs="Times New Roman"/>
                <w:sz w:val="28"/>
                <w:szCs w:val="28"/>
              </w:rPr>
              <w:t xml:space="preserve">　　</w:t>
            </w:r>
            <w:r w:rsidR="00023513" w:rsidRPr="00B163CC">
              <w:rPr>
                <w:rFonts w:ascii="Times New Roman" w:eastAsia="標楷體" w:hAnsi="Times New Roman" w:cs="Times New Roman"/>
                <w:sz w:val="28"/>
                <w:szCs w:val="28"/>
                <w:lang w:eastAsia="zh-CN"/>
              </w:rPr>
              <w:t xml:space="preserve"> </w:t>
            </w:r>
            <w:r w:rsidR="0018402D" w:rsidRPr="00B163CC">
              <w:rPr>
                <w:rFonts w:ascii="Times New Roman" w:eastAsia="標楷體" w:hAnsi="Times New Roman" w:cs="Times New Roman"/>
                <w:b/>
                <w:bCs/>
                <w:color w:val="FF0000"/>
                <w:sz w:val="28"/>
                <w:szCs w:val="28"/>
                <w:lang w:eastAsia="zh-CN"/>
              </w:rPr>
              <w:t>二</w:t>
            </w:r>
            <w:r w:rsidR="00B163CC">
              <w:rPr>
                <w:rFonts w:ascii="Times New Roman" w:eastAsia="標楷體" w:hAnsi="Times New Roman" w:cs="Times New Roman" w:hint="eastAsia"/>
                <w:b/>
                <w:bCs/>
                <w:color w:val="FF0000"/>
                <w:sz w:val="28"/>
                <w:szCs w:val="28"/>
                <w:lang w:eastAsia="zh-CN"/>
              </w:rPr>
              <w:t>、</w:t>
            </w:r>
            <w:r w:rsidR="00D02504" w:rsidRPr="00B163CC">
              <w:rPr>
                <w:rFonts w:ascii="Times New Roman" w:eastAsia="標楷體" w:hAnsi="Times New Roman" w:cs="Times New Roman"/>
                <w:b/>
                <w:color w:val="FF0000"/>
                <w:sz w:val="28"/>
                <w:szCs w:val="28"/>
                <w:lang w:eastAsia="zh-CN"/>
              </w:rPr>
              <w:t>領先指標</w:t>
            </w:r>
            <w:r w:rsidR="00FB2561" w:rsidRPr="00B163CC">
              <w:rPr>
                <w:rFonts w:ascii="Times New Roman" w:eastAsia="標楷體" w:hAnsi="Times New Roman" w:cs="Times New Roman"/>
                <w:b/>
                <w:color w:val="FF0000"/>
                <w:sz w:val="28"/>
                <w:szCs w:val="28"/>
                <w:lang w:eastAsia="zh-CN"/>
              </w:rPr>
              <w:t>六項子指標</w:t>
            </w:r>
            <w:r w:rsidR="003F6975" w:rsidRPr="00B163CC">
              <w:rPr>
                <w:rFonts w:ascii="Times New Roman" w:eastAsia="標楷體" w:hAnsi="Times New Roman" w:cs="Times New Roman"/>
                <w:b/>
                <w:color w:val="FF0000"/>
                <w:sz w:val="28"/>
                <w:szCs w:val="28"/>
                <w:lang w:eastAsia="zh-CN"/>
              </w:rPr>
              <w:t>顯現</w:t>
            </w:r>
            <w:r w:rsidR="00260D2F" w:rsidRPr="00B163CC">
              <w:rPr>
                <w:rFonts w:ascii="Times New Roman" w:eastAsia="標楷體" w:hAnsi="Times New Roman" w:cs="Times New Roman"/>
                <w:b/>
                <w:color w:val="FF0000"/>
                <w:sz w:val="28"/>
                <w:szCs w:val="28"/>
                <w:lang w:eastAsia="zh-CN"/>
              </w:rPr>
              <w:t>就業面差</w:t>
            </w:r>
            <w:r w:rsidR="00C01A68" w:rsidRPr="00B163CC">
              <w:rPr>
                <w:rFonts w:ascii="Times New Roman" w:eastAsia="標楷體" w:hAnsi="Times New Roman" w:cs="Times New Roman"/>
                <w:b/>
                <w:color w:val="FF0000"/>
                <w:sz w:val="28"/>
                <w:szCs w:val="28"/>
                <w:lang w:eastAsia="zh-CN"/>
              </w:rPr>
              <w:t>，</w:t>
            </w:r>
            <w:r w:rsidR="00021DBA" w:rsidRPr="00B163CC">
              <w:rPr>
                <w:rFonts w:ascii="Times New Roman" w:eastAsia="標楷體" w:hAnsi="Times New Roman" w:cs="Times New Roman"/>
                <w:b/>
                <w:color w:val="FF0000"/>
                <w:sz w:val="28"/>
                <w:szCs w:val="28"/>
                <w:lang w:eastAsia="zh-CN"/>
              </w:rPr>
              <w:t>但</w:t>
            </w:r>
            <w:r w:rsidR="00C01A68" w:rsidRPr="00B163CC">
              <w:rPr>
                <w:rFonts w:ascii="Times New Roman" w:eastAsia="標楷體" w:hAnsi="Times New Roman" w:cs="Times New Roman"/>
                <w:b/>
                <w:color w:val="FF0000"/>
                <w:sz w:val="28"/>
                <w:szCs w:val="28"/>
                <w:lang w:eastAsia="zh-CN"/>
              </w:rPr>
              <w:t>投資轉升股市卻轉跌</w:t>
            </w:r>
            <w:r w:rsidR="00021DBA" w:rsidRPr="00B163CC">
              <w:rPr>
                <w:rFonts w:ascii="Times New Roman" w:eastAsia="標楷體" w:hAnsi="Times New Roman" w:cs="Times New Roman"/>
                <w:b/>
                <w:color w:val="FF0000"/>
                <w:sz w:val="28"/>
                <w:szCs w:val="28"/>
                <w:lang w:eastAsia="zh-CN"/>
              </w:rPr>
              <w:t>新局面。</w:t>
            </w:r>
          </w:p>
          <w:p w14:paraId="22DC9CC3" w14:textId="3B76A130" w:rsidR="00E300BA" w:rsidRPr="00B163CC" w:rsidRDefault="00FF083D" w:rsidP="00E300BA">
            <w:pPr>
              <w:adjustRightInd w:val="0"/>
              <w:ind w:firstLineChars="200" w:firstLine="560"/>
              <w:rPr>
                <w:rFonts w:ascii="Times New Roman" w:eastAsia="標楷體" w:hAnsi="Times New Roman" w:cs="Times New Roman"/>
                <w:sz w:val="28"/>
                <w:szCs w:val="28"/>
              </w:rPr>
            </w:pPr>
            <w:r w:rsidRPr="00B163CC">
              <w:rPr>
                <w:rFonts w:ascii="Times New Roman" w:eastAsia="標楷體" w:hAnsi="Times New Roman" w:cs="Times New Roman"/>
                <w:sz w:val="28"/>
                <w:szCs w:val="28"/>
              </w:rPr>
              <w:t>在行政院主計總處發佈的</w:t>
            </w:r>
            <w:r w:rsidR="00567AFC" w:rsidRPr="00B163CC">
              <w:rPr>
                <w:rFonts w:ascii="Times New Roman" w:eastAsia="標楷體" w:hAnsi="Times New Roman" w:cs="Times New Roman"/>
                <w:sz w:val="28"/>
                <w:szCs w:val="28"/>
              </w:rPr>
              <w:t>今年第一季資料中，</w:t>
            </w:r>
            <w:r w:rsidR="00290250" w:rsidRPr="00B163CC">
              <w:rPr>
                <w:rFonts w:ascii="Times New Roman" w:eastAsia="標楷體" w:hAnsi="Times New Roman" w:cs="Times New Roman"/>
                <w:sz w:val="28"/>
                <w:szCs w:val="28"/>
              </w:rPr>
              <w:t>曾發現</w:t>
            </w:r>
            <w:r w:rsidR="00041836" w:rsidRPr="00B163CC">
              <w:rPr>
                <w:rFonts w:ascii="Times New Roman" w:eastAsia="標楷體" w:hAnsi="Times New Roman" w:cs="Times New Roman"/>
                <w:sz w:val="28"/>
                <w:szCs w:val="28"/>
              </w:rPr>
              <w:t>領先指標的六項子指標</w:t>
            </w:r>
            <w:r w:rsidR="00445907" w:rsidRPr="00B163CC">
              <w:rPr>
                <w:rFonts w:ascii="Times New Roman" w:eastAsia="標楷體" w:hAnsi="Times New Roman" w:cs="Times New Roman"/>
                <w:sz w:val="28"/>
                <w:szCs w:val="28"/>
              </w:rPr>
              <w:t>中有三項</w:t>
            </w:r>
            <w:r w:rsidR="003C3EB1" w:rsidRPr="00B163CC">
              <w:rPr>
                <w:rFonts w:ascii="Times New Roman" w:eastAsia="標楷體" w:hAnsi="Times New Roman" w:cs="Times New Roman"/>
                <w:sz w:val="28"/>
                <w:szCs w:val="28"/>
              </w:rPr>
              <w:t>，</w:t>
            </w:r>
            <w:r w:rsidR="00F51668" w:rsidRPr="00B163CC">
              <w:rPr>
                <w:rFonts w:ascii="Times New Roman" w:eastAsia="標楷體" w:hAnsi="Times New Roman" w:cs="Times New Roman"/>
                <w:sz w:val="28"/>
                <w:szCs w:val="28"/>
              </w:rPr>
              <w:t>包括</w:t>
            </w:r>
            <w:r w:rsidR="00EA33CE" w:rsidRPr="00B163CC">
              <w:rPr>
                <w:rFonts w:ascii="Times New Roman" w:eastAsia="標楷體" w:hAnsi="Times New Roman" w:cs="Times New Roman"/>
                <w:sz w:val="28"/>
                <w:szCs w:val="28"/>
              </w:rPr>
              <w:t>《</w:t>
            </w:r>
            <w:r w:rsidR="00920420" w:rsidRPr="00B163CC">
              <w:rPr>
                <w:rFonts w:ascii="Times New Roman" w:eastAsia="標楷體" w:hAnsi="Times New Roman" w:cs="Times New Roman"/>
                <w:sz w:val="28"/>
                <w:szCs w:val="28"/>
              </w:rPr>
              <w:t>民間實質固定資本形成</w:t>
            </w:r>
            <w:r w:rsidR="00EA33CE" w:rsidRPr="00B163CC">
              <w:rPr>
                <w:rFonts w:ascii="Times New Roman" w:eastAsia="標楷體" w:hAnsi="Times New Roman" w:cs="Times New Roman"/>
                <w:sz w:val="28"/>
                <w:szCs w:val="28"/>
              </w:rPr>
              <w:t>》</w:t>
            </w:r>
            <w:r w:rsidR="00EE0945" w:rsidRPr="00B163CC">
              <w:rPr>
                <w:rFonts w:ascii="Times New Roman" w:eastAsia="標楷體" w:hAnsi="Times New Roman" w:cs="Times New Roman"/>
                <w:sz w:val="28"/>
                <w:szCs w:val="28"/>
              </w:rPr>
              <w:t>循環指數</w:t>
            </w:r>
            <w:r w:rsidR="00BB58E3" w:rsidRPr="00B163CC">
              <w:rPr>
                <w:rFonts w:ascii="Times New Roman" w:eastAsia="標楷體" w:hAnsi="Times New Roman" w:cs="Times New Roman"/>
                <w:sz w:val="28"/>
                <w:szCs w:val="28"/>
              </w:rPr>
              <w:t>在</w:t>
            </w:r>
            <w:r w:rsidR="00BB58E3" w:rsidRPr="00B163CC">
              <w:rPr>
                <w:rFonts w:ascii="Times New Roman" w:eastAsia="標楷體" w:hAnsi="Times New Roman" w:cs="Times New Roman"/>
                <w:sz w:val="28"/>
                <w:szCs w:val="28"/>
                <w:lang w:eastAsia="zh-CN"/>
              </w:rPr>
              <w:t>1</w:t>
            </w:r>
            <w:r w:rsidR="00BB58E3" w:rsidRPr="00B163CC">
              <w:rPr>
                <w:rFonts w:ascii="Times New Roman" w:eastAsia="標楷體" w:hAnsi="Times New Roman" w:cs="Times New Roman"/>
                <w:sz w:val="28"/>
                <w:szCs w:val="28"/>
              </w:rPr>
              <w:t>至</w:t>
            </w:r>
            <w:r w:rsidR="00BB58E3" w:rsidRPr="00B163CC">
              <w:rPr>
                <w:rFonts w:ascii="Times New Roman" w:eastAsia="標楷體" w:hAnsi="Times New Roman" w:cs="Times New Roman"/>
                <w:sz w:val="28"/>
                <w:szCs w:val="28"/>
                <w:lang w:eastAsia="zh-CN"/>
              </w:rPr>
              <w:t>3</w:t>
            </w:r>
            <w:r w:rsidR="00BB58E3" w:rsidRPr="00B163CC">
              <w:rPr>
                <w:rFonts w:ascii="Times New Roman" w:eastAsia="標楷體" w:hAnsi="Times New Roman" w:cs="Times New Roman"/>
                <w:sz w:val="28"/>
                <w:szCs w:val="28"/>
              </w:rPr>
              <w:t>月</w:t>
            </w:r>
            <w:r w:rsidR="0016649D" w:rsidRPr="00B163CC">
              <w:rPr>
                <w:rFonts w:ascii="Times New Roman" w:eastAsia="標楷體" w:hAnsi="Times New Roman" w:cs="Times New Roman"/>
                <w:sz w:val="28"/>
                <w:szCs w:val="28"/>
              </w:rPr>
              <w:t>連續下降，</w:t>
            </w:r>
            <w:r w:rsidR="00EA33CE" w:rsidRPr="00B163CC">
              <w:rPr>
                <w:rFonts w:ascii="Times New Roman" w:eastAsia="標楷體" w:hAnsi="Times New Roman" w:cs="Times New Roman"/>
                <w:sz w:val="28"/>
                <w:szCs w:val="28"/>
              </w:rPr>
              <w:t>《</w:t>
            </w:r>
            <w:r w:rsidR="0016649D" w:rsidRPr="00B163CC">
              <w:rPr>
                <w:rFonts w:ascii="Times New Roman" w:eastAsia="標楷體" w:hAnsi="Times New Roman" w:cs="Times New Roman"/>
                <w:sz w:val="28"/>
                <w:szCs w:val="28"/>
              </w:rPr>
              <w:t>失</w:t>
            </w:r>
            <w:r w:rsidR="00207740" w:rsidRPr="00B163CC">
              <w:rPr>
                <w:rFonts w:ascii="Times New Roman" w:eastAsia="標楷體" w:hAnsi="Times New Roman" w:cs="Times New Roman"/>
                <w:sz w:val="28"/>
                <w:szCs w:val="28"/>
              </w:rPr>
              <w:t>業給付初次認定受</w:t>
            </w:r>
            <w:r w:rsidR="009B012E" w:rsidRPr="00B163CC">
              <w:rPr>
                <w:rFonts w:ascii="Times New Roman" w:eastAsia="標楷體" w:hAnsi="Times New Roman" w:cs="Times New Roman"/>
                <w:sz w:val="28"/>
                <w:szCs w:val="28"/>
              </w:rPr>
              <w:t>理件數（倒數）</w:t>
            </w:r>
            <w:r w:rsidR="00EA33CE" w:rsidRPr="00B163CC">
              <w:rPr>
                <w:rFonts w:ascii="Times New Roman" w:eastAsia="標楷體" w:hAnsi="Times New Roman" w:cs="Times New Roman"/>
                <w:sz w:val="28"/>
                <w:szCs w:val="28"/>
              </w:rPr>
              <w:t>》</w:t>
            </w:r>
            <w:r w:rsidR="00CB6646" w:rsidRPr="00B163CC">
              <w:rPr>
                <w:rFonts w:ascii="Times New Roman" w:eastAsia="標楷體" w:hAnsi="Times New Roman" w:cs="Times New Roman"/>
                <w:sz w:val="28"/>
                <w:szCs w:val="28"/>
              </w:rPr>
              <w:t>循環指數</w:t>
            </w:r>
            <w:r w:rsidR="009B012E" w:rsidRPr="00B163CC">
              <w:rPr>
                <w:rFonts w:ascii="Times New Roman" w:eastAsia="標楷體" w:hAnsi="Times New Roman" w:cs="Times New Roman"/>
                <w:sz w:val="28"/>
                <w:szCs w:val="28"/>
              </w:rPr>
              <w:t>在</w:t>
            </w:r>
            <w:r w:rsidR="009B012E" w:rsidRPr="00B163CC">
              <w:rPr>
                <w:rFonts w:ascii="Times New Roman" w:eastAsia="標楷體" w:hAnsi="Times New Roman" w:cs="Times New Roman"/>
                <w:sz w:val="28"/>
                <w:szCs w:val="28"/>
                <w:lang w:eastAsia="zh-CN"/>
              </w:rPr>
              <w:t>2</w:t>
            </w:r>
            <w:r w:rsidR="00913F55" w:rsidRPr="00B163CC">
              <w:rPr>
                <w:rFonts w:ascii="Times New Roman" w:eastAsia="標楷體" w:hAnsi="Times New Roman" w:cs="Times New Roman"/>
                <w:sz w:val="28"/>
                <w:szCs w:val="28"/>
              </w:rPr>
              <w:t>月及</w:t>
            </w:r>
            <w:r w:rsidR="00913F55" w:rsidRPr="00B163CC">
              <w:rPr>
                <w:rFonts w:ascii="Times New Roman" w:eastAsia="標楷體" w:hAnsi="Times New Roman" w:cs="Times New Roman"/>
                <w:sz w:val="28"/>
                <w:szCs w:val="28"/>
                <w:lang w:eastAsia="zh-CN"/>
              </w:rPr>
              <w:t>3</w:t>
            </w:r>
            <w:r w:rsidR="00913F55" w:rsidRPr="00B163CC">
              <w:rPr>
                <w:rFonts w:ascii="Times New Roman" w:eastAsia="標楷體" w:hAnsi="Times New Roman" w:cs="Times New Roman"/>
                <w:sz w:val="28"/>
                <w:szCs w:val="28"/>
              </w:rPr>
              <w:t>月出現</w:t>
            </w:r>
            <w:r w:rsidR="00F45939" w:rsidRPr="00B163CC">
              <w:rPr>
                <w:rFonts w:ascii="Times New Roman" w:eastAsia="標楷體" w:hAnsi="Times New Roman" w:cs="Times New Roman"/>
                <w:sz w:val="28"/>
                <w:szCs w:val="28"/>
              </w:rPr>
              <w:t>向下，</w:t>
            </w:r>
            <w:r w:rsidR="00EA33CE" w:rsidRPr="00B163CC">
              <w:rPr>
                <w:rFonts w:ascii="Times New Roman" w:eastAsia="標楷體" w:hAnsi="Times New Roman" w:cs="Times New Roman"/>
                <w:sz w:val="28"/>
                <w:szCs w:val="28"/>
              </w:rPr>
              <w:t>《</w:t>
            </w:r>
            <w:r w:rsidR="00F45939" w:rsidRPr="00B163CC">
              <w:rPr>
                <w:rFonts w:ascii="Times New Roman" w:eastAsia="標楷體" w:hAnsi="Times New Roman" w:cs="Times New Roman"/>
                <w:sz w:val="28"/>
                <w:szCs w:val="28"/>
              </w:rPr>
              <w:t>商業服務業</w:t>
            </w:r>
            <w:r w:rsidR="009E1B39" w:rsidRPr="00B163CC">
              <w:rPr>
                <w:rFonts w:ascii="Times New Roman" w:eastAsia="標楷體" w:hAnsi="Times New Roman" w:cs="Times New Roman"/>
                <w:sz w:val="28"/>
                <w:szCs w:val="28"/>
              </w:rPr>
              <w:t>僱用淨</w:t>
            </w:r>
            <w:r w:rsidR="00AA7BCF" w:rsidRPr="00B163CC">
              <w:rPr>
                <w:rFonts w:ascii="Times New Roman" w:eastAsia="標楷體" w:hAnsi="Times New Roman" w:cs="Times New Roman"/>
                <w:sz w:val="28"/>
                <w:szCs w:val="28"/>
              </w:rPr>
              <w:t>進入率</w:t>
            </w:r>
            <w:r w:rsidR="00EA33CE" w:rsidRPr="00B163CC">
              <w:rPr>
                <w:rFonts w:ascii="Times New Roman" w:eastAsia="標楷體" w:hAnsi="Times New Roman" w:cs="Times New Roman"/>
                <w:sz w:val="28"/>
                <w:szCs w:val="28"/>
              </w:rPr>
              <w:t>》</w:t>
            </w:r>
            <w:r w:rsidR="00CB6646" w:rsidRPr="00B163CC">
              <w:rPr>
                <w:rFonts w:ascii="Times New Roman" w:eastAsia="標楷體" w:hAnsi="Times New Roman" w:cs="Times New Roman"/>
                <w:sz w:val="28"/>
                <w:szCs w:val="28"/>
              </w:rPr>
              <w:t>循環指數</w:t>
            </w:r>
            <w:r w:rsidR="00AA7BCF" w:rsidRPr="00B163CC">
              <w:rPr>
                <w:rFonts w:ascii="Times New Roman" w:eastAsia="標楷體" w:hAnsi="Times New Roman" w:cs="Times New Roman"/>
                <w:sz w:val="28"/>
                <w:szCs w:val="28"/>
              </w:rPr>
              <w:t>在</w:t>
            </w:r>
            <w:r w:rsidR="00AA7BCF" w:rsidRPr="00B163CC">
              <w:rPr>
                <w:rFonts w:ascii="Times New Roman" w:eastAsia="標楷體" w:hAnsi="Times New Roman" w:cs="Times New Roman"/>
                <w:sz w:val="28"/>
                <w:szCs w:val="28"/>
                <w:lang w:eastAsia="zh-CN"/>
              </w:rPr>
              <w:t>2</w:t>
            </w:r>
            <w:r w:rsidR="00AA7BCF" w:rsidRPr="00B163CC">
              <w:rPr>
                <w:rFonts w:ascii="Times New Roman" w:eastAsia="標楷體" w:hAnsi="Times New Roman" w:cs="Times New Roman"/>
                <w:sz w:val="28"/>
                <w:szCs w:val="28"/>
              </w:rPr>
              <w:t>月及</w:t>
            </w:r>
            <w:r w:rsidR="00AA7BCF" w:rsidRPr="00B163CC">
              <w:rPr>
                <w:rFonts w:ascii="Times New Roman" w:eastAsia="標楷體" w:hAnsi="Times New Roman" w:cs="Times New Roman"/>
                <w:sz w:val="28"/>
                <w:szCs w:val="28"/>
                <w:lang w:eastAsia="zh-CN"/>
              </w:rPr>
              <w:t>3</w:t>
            </w:r>
            <w:r w:rsidR="00296753" w:rsidRPr="00B163CC">
              <w:rPr>
                <w:rFonts w:ascii="Times New Roman" w:eastAsia="標楷體" w:hAnsi="Times New Roman" w:cs="Times New Roman"/>
                <w:sz w:val="28"/>
                <w:szCs w:val="28"/>
              </w:rPr>
              <w:t>月出現減少。</w:t>
            </w:r>
            <w:r w:rsidR="00C96757" w:rsidRPr="00B163CC">
              <w:rPr>
                <w:rFonts w:ascii="Times New Roman" w:eastAsia="標楷體" w:hAnsi="Times New Roman" w:cs="Times New Roman"/>
                <w:sz w:val="28"/>
                <w:szCs w:val="28"/>
              </w:rPr>
              <w:t>投資與就業</w:t>
            </w:r>
            <w:r w:rsidR="000D6660" w:rsidRPr="00B163CC">
              <w:rPr>
                <w:rFonts w:ascii="Times New Roman" w:eastAsia="標楷體" w:hAnsi="Times New Roman" w:cs="Times New Roman"/>
                <w:sz w:val="28"/>
                <w:szCs w:val="28"/>
              </w:rPr>
              <w:t>的不前</w:t>
            </w:r>
            <w:r w:rsidR="00A7567E" w:rsidRPr="00B163CC">
              <w:rPr>
                <w:rFonts w:ascii="Times New Roman" w:eastAsia="標楷體" w:hAnsi="Times New Roman" w:cs="Times New Roman"/>
                <w:sz w:val="28"/>
                <w:szCs w:val="28"/>
              </w:rPr>
              <w:t>導致景氣領先綜合指數</w:t>
            </w:r>
            <w:r w:rsidR="00F33E83" w:rsidRPr="00B163CC">
              <w:rPr>
                <w:rFonts w:ascii="Times New Roman" w:eastAsia="標楷體" w:hAnsi="Times New Roman" w:cs="Times New Roman"/>
                <w:sz w:val="28"/>
                <w:szCs w:val="28"/>
              </w:rPr>
              <w:t>所</w:t>
            </w:r>
            <w:r w:rsidR="00DD6406" w:rsidRPr="00B163CC">
              <w:rPr>
                <w:rFonts w:ascii="Times New Roman" w:eastAsia="標楷體" w:hAnsi="Times New Roman" w:cs="Times New Roman"/>
                <w:sz w:val="28"/>
                <w:szCs w:val="28"/>
              </w:rPr>
              <w:t>預測</w:t>
            </w:r>
            <w:r w:rsidR="00F33E83" w:rsidRPr="00B163CC">
              <w:rPr>
                <w:rFonts w:ascii="Times New Roman" w:eastAsia="標楷體" w:hAnsi="Times New Roman" w:cs="Times New Roman"/>
                <w:sz w:val="28"/>
                <w:szCs w:val="28"/>
              </w:rPr>
              <w:t>的</w:t>
            </w:r>
            <w:r w:rsidR="00DD6406" w:rsidRPr="00B163CC">
              <w:rPr>
                <w:rFonts w:ascii="Times New Roman" w:eastAsia="標楷體" w:hAnsi="Times New Roman" w:cs="Times New Roman"/>
                <w:sz w:val="28"/>
                <w:szCs w:val="28"/>
              </w:rPr>
              <w:t>景氣同行</w:t>
            </w:r>
            <w:r w:rsidR="00C008A4" w:rsidRPr="00B163CC">
              <w:rPr>
                <w:rFonts w:ascii="Times New Roman" w:eastAsia="標楷體" w:hAnsi="Times New Roman" w:cs="Times New Roman"/>
                <w:sz w:val="28"/>
                <w:szCs w:val="28"/>
              </w:rPr>
              <w:t>綜合指數</w:t>
            </w:r>
            <w:r w:rsidR="00F33E83" w:rsidRPr="00B163CC">
              <w:rPr>
                <w:rFonts w:ascii="Times New Roman" w:eastAsia="標楷體" w:hAnsi="Times New Roman" w:cs="Times New Roman"/>
                <w:sz w:val="28"/>
                <w:szCs w:val="28"/>
              </w:rPr>
              <w:t>於</w:t>
            </w:r>
            <w:r w:rsidR="00F33E83" w:rsidRPr="00B163CC">
              <w:rPr>
                <w:rFonts w:ascii="Times New Roman" w:eastAsia="標楷體" w:hAnsi="Times New Roman" w:cs="Times New Roman"/>
                <w:sz w:val="28"/>
                <w:szCs w:val="28"/>
                <w:lang w:eastAsia="zh-CN"/>
              </w:rPr>
              <w:t>10</w:t>
            </w:r>
            <w:r w:rsidR="00F33E83" w:rsidRPr="00B163CC">
              <w:rPr>
                <w:rFonts w:ascii="Times New Roman" w:eastAsia="標楷體" w:hAnsi="Times New Roman" w:cs="Times New Roman"/>
                <w:sz w:val="28"/>
                <w:szCs w:val="28"/>
              </w:rPr>
              <w:t>月</w:t>
            </w:r>
            <w:r w:rsidR="00ED00F3" w:rsidRPr="00B163CC">
              <w:rPr>
                <w:rFonts w:ascii="Times New Roman" w:eastAsia="標楷體" w:hAnsi="Times New Roman" w:cs="Times New Roman"/>
                <w:sz w:val="28"/>
                <w:szCs w:val="28"/>
              </w:rPr>
              <w:t>份始見</w:t>
            </w:r>
            <w:r w:rsidR="00762349" w:rsidRPr="00B163CC">
              <w:rPr>
                <w:rFonts w:ascii="Times New Roman" w:eastAsia="標楷體" w:hAnsi="Times New Roman" w:cs="Times New Roman"/>
                <w:sz w:val="28"/>
                <w:szCs w:val="28"/>
              </w:rPr>
              <w:t>復甦</w:t>
            </w:r>
            <w:r w:rsidR="00ED00F3" w:rsidRPr="00B163CC">
              <w:rPr>
                <w:rFonts w:ascii="Times New Roman" w:eastAsia="標楷體" w:hAnsi="Times New Roman" w:cs="Times New Roman"/>
                <w:sz w:val="28"/>
                <w:szCs w:val="28"/>
              </w:rPr>
              <w:t>後</w:t>
            </w:r>
            <w:r w:rsidR="0082373B" w:rsidRPr="00B163CC">
              <w:rPr>
                <w:rFonts w:ascii="Times New Roman" w:eastAsia="標楷體" w:hAnsi="Times New Roman" w:cs="Times New Roman"/>
                <w:sz w:val="28"/>
                <w:szCs w:val="28"/>
              </w:rPr>
              <w:t>的止升轉</w:t>
            </w:r>
            <w:r w:rsidR="00E300BA" w:rsidRPr="00B163CC">
              <w:rPr>
                <w:rFonts w:ascii="Times New Roman" w:eastAsia="標楷體" w:hAnsi="Times New Roman" w:cs="Times New Roman"/>
                <w:sz w:val="28"/>
                <w:szCs w:val="28"/>
              </w:rPr>
              <w:t>降</w:t>
            </w:r>
            <w:r w:rsidR="00930381" w:rsidRPr="00B163CC">
              <w:rPr>
                <w:rFonts w:ascii="Times New Roman" w:eastAsia="標楷體" w:hAnsi="Times New Roman" w:cs="Times New Roman"/>
                <w:sz w:val="28"/>
                <w:szCs w:val="28"/>
              </w:rPr>
              <w:t>訊</w:t>
            </w:r>
            <w:r w:rsidR="00E300BA" w:rsidRPr="00B163CC">
              <w:rPr>
                <w:rFonts w:ascii="Times New Roman" w:eastAsia="標楷體" w:hAnsi="Times New Roman" w:cs="Times New Roman"/>
                <w:sz w:val="28"/>
                <w:szCs w:val="28"/>
              </w:rPr>
              <w:t>號</w:t>
            </w:r>
            <w:r w:rsidR="00930381" w:rsidRPr="00B163CC">
              <w:rPr>
                <w:rFonts w:ascii="Times New Roman" w:eastAsia="標楷體" w:hAnsi="Times New Roman" w:cs="Times New Roman"/>
                <w:sz w:val="28"/>
                <w:szCs w:val="28"/>
              </w:rPr>
              <w:t>。</w:t>
            </w:r>
          </w:p>
          <w:p w14:paraId="51127E63" w14:textId="60A4E03D" w:rsidR="009F7773" w:rsidRPr="00B163CC" w:rsidRDefault="0016193D" w:rsidP="00E300BA">
            <w:pPr>
              <w:adjustRightInd w:val="0"/>
              <w:ind w:firstLineChars="200" w:firstLine="560"/>
              <w:rPr>
                <w:rFonts w:ascii="Times New Roman" w:eastAsia="標楷體" w:hAnsi="Times New Roman" w:cs="Times New Roman"/>
                <w:sz w:val="28"/>
                <w:szCs w:val="28"/>
                <w:lang w:eastAsia="zh-CN"/>
              </w:rPr>
            </w:pPr>
            <w:r w:rsidRPr="00B163CC">
              <w:rPr>
                <w:rFonts w:ascii="Times New Roman" w:eastAsia="標楷體" w:hAnsi="Times New Roman" w:cs="Times New Roman"/>
                <w:sz w:val="28"/>
                <w:szCs w:val="28"/>
              </w:rPr>
              <w:t>進入第二</w:t>
            </w:r>
            <w:r w:rsidR="00D246E1" w:rsidRPr="00B163CC">
              <w:rPr>
                <w:rFonts w:ascii="Times New Roman" w:eastAsia="標楷體" w:hAnsi="Times New Roman" w:cs="Times New Roman"/>
                <w:sz w:val="28"/>
                <w:szCs w:val="28"/>
              </w:rPr>
              <w:t>季，代表就業的兩</w:t>
            </w:r>
            <w:r w:rsidR="00636B32" w:rsidRPr="00B163CC">
              <w:rPr>
                <w:rFonts w:ascii="Times New Roman" w:eastAsia="標楷體" w:hAnsi="Times New Roman" w:cs="Times New Roman"/>
                <w:sz w:val="28"/>
                <w:szCs w:val="28"/>
              </w:rPr>
              <w:t>個子指標</w:t>
            </w:r>
            <w:r w:rsidR="006C5224" w:rsidRPr="00B163CC">
              <w:rPr>
                <w:rFonts w:ascii="Times New Roman" w:eastAsia="標楷體" w:hAnsi="Times New Roman" w:cs="Times New Roman"/>
                <w:sz w:val="28"/>
                <w:szCs w:val="28"/>
              </w:rPr>
              <w:t>於</w:t>
            </w:r>
            <w:r w:rsidR="006C5224" w:rsidRPr="00B163CC">
              <w:rPr>
                <w:rFonts w:ascii="Times New Roman" w:eastAsia="標楷體" w:hAnsi="Times New Roman" w:cs="Times New Roman"/>
                <w:sz w:val="28"/>
                <w:szCs w:val="28"/>
                <w:lang w:eastAsia="zh-CN"/>
              </w:rPr>
              <w:t>4</w:t>
            </w:r>
            <w:r w:rsidR="006C5224" w:rsidRPr="00B163CC">
              <w:rPr>
                <w:rFonts w:ascii="Times New Roman" w:eastAsia="標楷體" w:hAnsi="Times New Roman" w:cs="Times New Roman"/>
                <w:sz w:val="28"/>
                <w:szCs w:val="28"/>
              </w:rPr>
              <w:t>月</w:t>
            </w:r>
            <w:r w:rsidR="00CD0988" w:rsidRPr="00B163CC">
              <w:rPr>
                <w:rFonts w:ascii="Times New Roman" w:eastAsia="標楷體" w:hAnsi="Times New Roman" w:cs="Times New Roman"/>
                <w:sz w:val="28"/>
                <w:szCs w:val="28"/>
              </w:rPr>
              <w:t>、</w:t>
            </w:r>
            <w:r w:rsidR="006C5224" w:rsidRPr="00B163CC">
              <w:rPr>
                <w:rFonts w:ascii="Times New Roman" w:eastAsia="標楷體" w:hAnsi="Times New Roman" w:cs="Times New Roman"/>
                <w:sz w:val="28"/>
                <w:szCs w:val="28"/>
                <w:lang w:eastAsia="zh-CN"/>
              </w:rPr>
              <w:t>5</w:t>
            </w:r>
            <w:r w:rsidR="006C5224" w:rsidRPr="00B163CC">
              <w:rPr>
                <w:rFonts w:ascii="Times New Roman" w:eastAsia="標楷體" w:hAnsi="Times New Roman" w:cs="Times New Roman"/>
                <w:sz w:val="28"/>
                <w:szCs w:val="28"/>
                <w:lang w:eastAsia="zh-CN"/>
              </w:rPr>
              <w:t>月</w:t>
            </w:r>
            <w:r w:rsidR="00CD0988" w:rsidRPr="00B163CC">
              <w:rPr>
                <w:rFonts w:ascii="Times New Roman" w:eastAsia="標楷體" w:hAnsi="Times New Roman" w:cs="Times New Roman"/>
                <w:sz w:val="28"/>
                <w:szCs w:val="28"/>
                <w:lang w:eastAsia="zh-CN"/>
              </w:rPr>
              <w:t>續見下</w:t>
            </w:r>
            <w:r w:rsidR="00CD7C0E" w:rsidRPr="00B163CC">
              <w:rPr>
                <w:rFonts w:ascii="Times New Roman" w:eastAsia="標楷體" w:hAnsi="Times New Roman" w:cs="Times New Roman"/>
                <w:sz w:val="28"/>
                <w:szCs w:val="28"/>
                <w:lang w:eastAsia="zh-CN"/>
              </w:rPr>
              <w:t>降，</w:t>
            </w:r>
            <w:r w:rsidR="009F7655" w:rsidRPr="00B163CC">
              <w:rPr>
                <w:rFonts w:ascii="Times New Roman" w:eastAsia="標楷體" w:hAnsi="Times New Roman" w:cs="Times New Roman"/>
                <w:sz w:val="28"/>
                <w:szCs w:val="28"/>
                <w:lang w:eastAsia="zh-CN"/>
              </w:rPr>
              <w:t>難得地</w:t>
            </w:r>
            <w:r w:rsidR="00CD7C0E" w:rsidRPr="00B163CC">
              <w:rPr>
                <w:rFonts w:ascii="Times New Roman" w:eastAsia="標楷體" w:hAnsi="Times New Roman" w:cs="Times New Roman"/>
                <w:sz w:val="28"/>
                <w:szCs w:val="28"/>
                <w:lang w:eastAsia="zh-CN"/>
              </w:rPr>
              <w:t>投資</w:t>
            </w:r>
            <w:r w:rsidR="002822E5" w:rsidRPr="00B163CC">
              <w:rPr>
                <w:rFonts w:ascii="Times New Roman" w:eastAsia="標楷體" w:hAnsi="Times New Roman" w:cs="Times New Roman"/>
                <w:sz w:val="28"/>
                <w:szCs w:val="28"/>
                <w:lang w:eastAsia="zh-CN"/>
              </w:rPr>
              <w:t>能</w:t>
            </w:r>
            <w:r w:rsidR="003A5BAE" w:rsidRPr="00B163CC">
              <w:rPr>
                <w:rFonts w:ascii="Times New Roman" w:eastAsia="標楷體" w:hAnsi="Times New Roman" w:cs="Times New Roman"/>
                <w:sz w:val="28"/>
                <w:szCs w:val="28"/>
                <w:lang w:eastAsia="zh-CN"/>
              </w:rPr>
              <w:t>於</w:t>
            </w:r>
            <w:r w:rsidR="003A5BAE" w:rsidRPr="00B163CC">
              <w:rPr>
                <w:rFonts w:ascii="Times New Roman" w:eastAsia="標楷體" w:hAnsi="Times New Roman" w:cs="Times New Roman"/>
                <w:sz w:val="28"/>
                <w:szCs w:val="28"/>
                <w:lang w:eastAsia="zh-CN"/>
              </w:rPr>
              <w:t>4</w:t>
            </w:r>
            <w:r w:rsidR="00B523C6" w:rsidRPr="00B163CC">
              <w:rPr>
                <w:rFonts w:ascii="Times New Roman" w:eastAsia="標楷體" w:hAnsi="Times New Roman" w:cs="Times New Roman"/>
                <w:sz w:val="28"/>
                <w:szCs w:val="28"/>
                <w:lang w:eastAsia="zh-CN"/>
              </w:rPr>
              <w:t>月、</w:t>
            </w:r>
            <w:r w:rsidR="00B523C6" w:rsidRPr="00B163CC">
              <w:rPr>
                <w:rFonts w:ascii="Times New Roman" w:eastAsia="標楷體" w:hAnsi="Times New Roman" w:cs="Times New Roman"/>
                <w:sz w:val="28"/>
                <w:szCs w:val="28"/>
                <w:lang w:eastAsia="zh-CN"/>
              </w:rPr>
              <w:t>5</w:t>
            </w:r>
            <w:r w:rsidR="00B523C6" w:rsidRPr="00B163CC">
              <w:rPr>
                <w:rFonts w:ascii="Times New Roman" w:eastAsia="標楷體" w:hAnsi="Times New Roman" w:cs="Times New Roman"/>
                <w:sz w:val="28"/>
                <w:szCs w:val="28"/>
                <w:lang w:eastAsia="zh-CN"/>
              </w:rPr>
              <w:t>月</w:t>
            </w:r>
            <w:r w:rsidR="00B77B86" w:rsidRPr="00B163CC">
              <w:rPr>
                <w:rFonts w:ascii="Times New Roman" w:eastAsia="標楷體" w:hAnsi="Times New Roman" w:cs="Times New Roman"/>
                <w:sz w:val="28"/>
                <w:szCs w:val="28"/>
                <w:lang w:eastAsia="zh-CN"/>
              </w:rPr>
              <w:t>連續上升，屬於</w:t>
            </w:r>
            <w:r w:rsidR="00FA76FC" w:rsidRPr="00B163CC">
              <w:rPr>
                <w:rFonts w:ascii="Times New Roman" w:eastAsia="標楷體" w:hAnsi="Times New Roman" w:cs="Times New Roman"/>
                <w:sz w:val="28"/>
                <w:szCs w:val="28"/>
                <w:lang w:eastAsia="zh-CN"/>
              </w:rPr>
              <w:t>良好徵兆，</w:t>
            </w:r>
            <w:r w:rsidR="009F7655" w:rsidRPr="00B163CC">
              <w:rPr>
                <w:rFonts w:ascii="Times New Roman" w:eastAsia="標楷體" w:hAnsi="Times New Roman" w:cs="Times New Roman"/>
                <w:sz w:val="28"/>
                <w:szCs w:val="28"/>
                <w:lang w:eastAsia="zh-CN"/>
              </w:rPr>
              <w:t>唯</w:t>
            </w:r>
            <w:r w:rsidR="00A2685D" w:rsidRPr="00B163CC">
              <w:rPr>
                <w:rFonts w:ascii="Times New Roman" w:eastAsia="標楷體" w:hAnsi="Times New Roman" w:cs="Times New Roman"/>
                <w:sz w:val="28"/>
                <w:szCs w:val="28"/>
                <w:lang w:eastAsia="zh-CN"/>
              </w:rPr>
              <w:t>服務業股價於</w:t>
            </w:r>
            <w:r w:rsidR="00A2685D" w:rsidRPr="00B163CC">
              <w:rPr>
                <w:rFonts w:ascii="Times New Roman" w:eastAsia="標楷體" w:hAnsi="Times New Roman" w:cs="Times New Roman"/>
                <w:sz w:val="28"/>
                <w:szCs w:val="28"/>
                <w:lang w:eastAsia="zh-CN"/>
              </w:rPr>
              <w:t>5</w:t>
            </w:r>
            <w:r w:rsidR="00A2685D" w:rsidRPr="00B163CC">
              <w:rPr>
                <w:rFonts w:ascii="Times New Roman" w:eastAsia="標楷體" w:hAnsi="Times New Roman" w:cs="Times New Roman"/>
                <w:sz w:val="28"/>
                <w:szCs w:val="28"/>
                <w:lang w:eastAsia="zh-CN"/>
              </w:rPr>
              <w:t>月</w:t>
            </w:r>
            <w:r w:rsidR="00F31AE5" w:rsidRPr="00B163CC">
              <w:rPr>
                <w:rFonts w:ascii="Times New Roman" w:eastAsia="標楷體" w:hAnsi="Times New Roman" w:cs="Times New Roman"/>
                <w:sz w:val="28"/>
                <w:szCs w:val="28"/>
                <w:lang w:eastAsia="zh-CN"/>
              </w:rPr>
              <w:t>及</w:t>
            </w:r>
            <w:r w:rsidR="00F31AE5" w:rsidRPr="00B163CC">
              <w:rPr>
                <w:rFonts w:ascii="Times New Roman" w:eastAsia="標楷體" w:hAnsi="Times New Roman" w:cs="Times New Roman"/>
                <w:sz w:val="28"/>
                <w:szCs w:val="28"/>
                <w:lang w:eastAsia="zh-CN"/>
              </w:rPr>
              <w:t>6</w:t>
            </w:r>
            <w:r w:rsidR="00F31AE5" w:rsidRPr="00B163CC">
              <w:rPr>
                <w:rFonts w:ascii="Times New Roman" w:eastAsia="標楷體" w:hAnsi="Times New Roman" w:cs="Times New Roman"/>
                <w:sz w:val="28"/>
                <w:szCs w:val="28"/>
                <w:lang w:eastAsia="zh-CN"/>
              </w:rPr>
              <w:t>月</w:t>
            </w:r>
            <w:r w:rsidR="00D95E44" w:rsidRPr="00B163CC">
              <w:rPr>
                <w:rFonts w:ascii="Times New Roman" w:eastAsia="標楷體" w:hAnsi="Times New Roman" w:cs="Times New Roman"/>
                <w:sz w:val="28"/>
                <w:szCs w:val="28"/>
                <w:lang w:eastAsia="zh-CN"/>
              </w:rPr>
              <w:t>反轉下降，致</w:t>
            </w:r>
            <w:r w:rsidR="00263F74" w:rsidRPr="00B163CC">
              <w:rPr>
                <w:rFonts w:ascii="Times New Roman" w:eastAsia="標楷體" w:hAnsi="Times New Roman" w:cs="Times New Roman"/>
                <w:sz w:val="28"/>
                <w:szCs w:val="28"/>
                <w:lang w:eastAsia="zh-CN"/>
              </w:rPr>
              <w:t>循環</w:t>
            </w:r>
            <w:r w:rsidR="00D95E44" w:rsidRPr="00B163CC">
              <w:rPr>
                <w:rFonts w:ascii="Times New Roman" w:eastAsia="標楷體" w:hAnsi="Times New Roman" w:cs="Times New Roman"/>
                <w:sz w:val="28"/>
                <w:szCs w:val="28"/>
                <w:lang w:eastAsia="zh-CN"/>
              </w:rPr>
              <w:t>綜合指數</w:t>
            </w:r>
            <w:r w:rsidR="00D21B6D" w:rsidRPr="00B163CC">
              <w:rPr>
                <w:rFonts w:ascii="Times New Roman" w:eastAsia="標楷體" w:hAnsi="Times New Roman" w:cs="Times New Roman"/>
                <w:sz w:val="28"/>
                <w:szCs w:val="28"/>
                <w:lang w:eastAsia="zh-CN"/>
              </w:rPr>
              <w:t>預測</w:t>
            </w:r>
            <w:r w:rsidR="00F92608" w:rsidRPr="00B163CC">
              <w:rPr>
                <w:rFonts w:ascii="Times New Roman" w:eastAsia="標楷體" w:hAnsi="Times New Roman" w:cs="Times New Roman"/>
                <w:sz w:val="28"/>
                <w:szCs w:val="28"/>
                <w:lang w:eastAsia="zh-CN"/>
              </w:rPr>
              <w:t>至</w:t>
            </w:r>
            <w:r w:rsidR="00F92608" w:rsidRPr="00B163CC">
              <w:rPr>
                <w:rFonts w:ascii="Times New Roman" w:eastAsia="標楷體" w:hAnsi="Times New Roman" w:cs="Times New Roman"/>
                <w:sz w:val="28"/>
                <w:szCs w:val="28"/>
                <w:lang w:eastAsia="zh-CN"/>
              </w:rPr>
              <w:t>12</w:t>
            </w:r>
            <w:r w:rsidR="00F92608" w:rsidRPr="00B163CC">
              <w:rPr>
                <w:rFonts w:ascii="Times New Roman" w:eastAsia="標楷體" w:hAnsi="Times New Roman" w:cs="Times New Roman"/>
                <w:sz w:val="28"/>
                <w:szCs w:val="28"/>
                <w:lang w:eastAsia="zh-CN"/>
              </w:rPr>
              <w:t>月</w:t>
            </w:r>
            <w:r w:rsidR="002822E5" w:rsidRPr="00B163CC">
              <w:rPr>
                <w:rFonts w:ascii="Times New Roman" w:eastAsia="標楷體" w:hAnsi="Times New Roman" w:cs="Times New Roman"/>
                <w:sz w:val="28"/>
                <w:szCs w:val="28"/>
                <w:lang w:eastAsia="zh-CN"/>
              </w:rPr>
              <w:t>仍</w:t>
            </w:r>
            <w:r w:rsidR="00263F74" w:rsidRPr="00B163CC">
              <w:rPr>
                <w:rFonts w:ascii="Times New Roman" w:eastAsia="標楷體" w:hAnsi="Times New Roman" w:cs="Times New Roman"/>
                <w:sz w:val="28"/>
                <w:szCs w:val="28"/>
                <w:lang w:eastAsia="zh-CN"/>
              </w:rPr>
              <w:t>見</w:t>
            </w:r>
            <w:r w:rsidR="00181AD6" w:rsidRPr="00B163CC">
              <w:rPr>
                <w:rFonts w:ascii="Times New Roman" w:eastAsia="標楷體" w:hAnsi="Times New Roman" w:cs="Times New Roman"/>
                <w:sz w:val="28"/>
                <w:szCs w:val="28"/>
                <w:lang w:eastAsia="zh-CN"/>
              </w:rPr>
              <w:t>繼續下降。</w:t>
            </w:r>
          </w:p>
          <w:p w14:paraId="415C3360" w14:textId="62743F22" w:rsidR="00637070" w:rsidRPr="00B163CC" w:rsidRDefault="00637070" w:rsidP="00E300BA">
            <w:pPr>
              <w:adjustRightInd w:val="0"/>
              <w:ind w:firstLineChars="200" w:firstLine="560"/>
              <w:rPr>
                <w:rFonts w:ascii="Times New Roman" w:eastAsia="標楷體" w:hAnsi="Times New Roman" w:cs="Times New Roman"/>
                <w:sz w:val="28"/>
                <w:szCs w:val="28"/>
                <w:lang w:eastAsia="zh-CN"/>
              </w:rPr>
            </w:pPr>
            <w:r w:rsidRPr="00B163CC">
              <w:rPr>
                <w:rFonts w:ascii="Times New Roman" w:eastAsia="標楷體" w:hAnsi="Times New Roman" w:cs="Times New Roman"/>
                <w:sz w:val="28"/>
                <w:szCs w:val="28"/>
                <w:lang w:eastAsia="zh-CN"/>
              </w:rPr>
              <w:t>投資的增進必然有</w:t>
            </w:r>
            <w:r w:rsidR="005B38B0" w:rsidRPr="00B163CC">
              <w:rPr>
                <w:rFonts w:ascii="Times New Roman" w:eastAsia="標楷體" w:hAnsi="Times New Roman" w:cs="Times New Roman"/>
                <w:sz w:val="28"/>
                <w:szCs w:val="28"/>
                <w:lang w:eastAsia="zh-CN"/>
              </w:rPr>
              <w:t>助於未來就業的提升，</w:t>
            </w:r>
            <w:r w:rsidR="00BC085D" w:rsidRPr="00B163CC">
              <w:rPr>
                <w:rFonts w:ascii="Times New Roman" w:eastAsia="標楷體" w:hAnsi="Times New Roman" w:cs="Times New Roman"/>
                <w:sz w:val="28"/>
                <w:szCs w:val="28"/>
                <w:lang w:eastAsia="zh-CN"/>
              </w:rPr>
              <w:t>但商業服務業的股市</w:t>
            </w:r>
            <w:r w:rsidR="0069430F" w:rsidRPr="00B163CC">
              <w:rPr>
                <w:rFonts w:ascii="Times New Roman" w:eastAsia="標楷體" w:hAnsi="Times New Roman" w:cs="Times New Roman"/>
                <w:sz w:val="28"/>
                <w:szCs w:val="28"/>
                <w:lang w:eastAsia="zh-CN"/>
              </w:rPr>
              <w:t>下跌恐</w:t>
            </w:r>
            <w:r w:rsidR="0066134F" w:rsidRPr="00B163CC">
              <w:rPr>
                <w:rFonts w:ascii="Times New Roman" w:eastAsia="標楷體" w:hAnsi="Times New Roman" w:cs="Times New Roman"/>
                <w:sz w:val="28"/>
                <w:szCs w:val="28"/>
                <w:lang w:eastAsia="zh-CN"/>
              </w:rPr>
              <w:t>有影響業者投資</w:t>
            </w:r>
            <w:r w:rsidR="00BA75E8" w:rsidRPr="00B163CC">
              <w:rPr>
                <w:rFonts w:ascii="Times New Roman" w:eastAsia="標楷體" w:hAnsi="Times New Roman" w:cs="Times New Roman"/>
                <w:sz w:val="28"/>
                <w:szCs w:val="28"/>
                <w:lang w:eastAsia="zh-CN"/>
              </w:rPr>
              <w:t>意願的</w:t>
            </w:r>
            <w:r w:rsidR="00D60ECE" w:rsidRPr="00B163CC">
              <w:rPr>
                <w:rFonts w:ascii="Times New Roman" w:eastAsia="標楷體" w:hAnsi="Times New Roman" w:cs="Times New Roman"/>
                <w:sz w:val="28"/>
                <w:szCs w:val="28"/>
                <w:lang w:eastAsia="zh-CN"/>
              </w:rPr>
              <w:t>持</w:t>
            </w:r>
            <w:r w:rsidR="00BA75E8" w:rsidRPr="00B163CC">
              <w:rPr>
                <w:rFonts w:ascii="Times New Roman" w:eastAsia="標楷體" w:hAnsi="Times New Roman" w:cs="Times New Roman"/>
                <w:sz w:val="28"/>
                <w:szCs w:val="28"/>
                <w:lang w:eastAsia="zh-CN"/>
              </w:rPr>
              <w:t>續增強，宜</w:t>
            </w:r>
            <w:r w:rsidR="006C4FB5" w:rsidRPr="00B163CC">
              <w:rPr>
                <w:rFonts w:ascii="Times New Roman" w:eastAsia="標楷體" w:hAnsi="Times New Roman" w:cs="Times New Roman"/>
                <w:sz w:val="28"/>
                <w:szCs w:val="28"/>
                <w:lang w:eastAsia="zh-CN"/>
              </w:rPr>
              <w:t>加注意。</w:t>
            </w:r>
          </w:p>
          <w:p w14:paraId="6A1913DB" w14:textId="44033863" w:rsidR="007536EB" w:rsidRPr="00B163CC" w:rsidRDefault="00FE0C7F" w:rsidP="00E300BA">
            <w:pPr>
              <w:adjustRightInd w:val="0"/>
              <w:ind w:firstLineChars="200" w:firstLine="560"/>
              <w:rPr>
                <w:rFonts w:ascii="Times New Roman" w:eastAsia="標楷體" w:hAnsi="Times New Roman" w:cs="Times New Roman"/>
                <w:sz w:val="28"/>
                <w:szCs w:val="28"/>
                <w:lang w:eastAsia="zh-CN"/>
              </w:rPr>
            </w:pPr>
            <w:r w:rsidRPr="00B163CC">
              <w:rPr>
                <w:rFonts w:ascii="Times New Roman" w:eastAsia="標楷體" w:hAnsi="Times New Roman" w:cs="Times New Roman"/>
                <w:sz w:val="28"/>
                <w:szCs w:val="28"/>
                <w:lang w:eastAsia="zh-CN"/>
              </w:rPr>
              <w:lastRenderedPageBreak/>
              <w:t>可</w:t>
            </w:r>
            <w:r w:rsidR="002A06C3" w:rsidRPr="00B163CC">
              <w:rPr>
                <w:rFonts w:ascii="Times New Roman" w:eastAsia="標楷體" w:hAnsi="Times New Roman" w:cs="Times New Roman"/>
                <w:sz w:val="28"/>
                <w:szCs w:val="28"/>
                <w:lang w:eastAsia="zh-CN"/>
              </w:rPr>
              <w:t>直接反應未來商業服務業就業動向的</w:t>
            </w:r>
            <w:r w:rsidR="002C5D36" w:rsidRPr="00B163CC">
              <w:rPr>
                <w:rFonts w:ascii="Times New Roman" w:eastAsia="標楷體" w:hAnsi="Times New Roman" w:cs="Times New Roman"/>
                <w:sz w:val="28"/>
                <w:szCs w:val="28"/>
                <w:lang w:eastAsia="zh-CN"/>
              </w:rPr>
              <w:t>兩個領先子指標在今年</w:t>
            </w:r>
            <w:r w:rsidR="00D33D9D" w:rsidRPr="00B163CC">
              <w:rPr>
                <w:rFonts w:ascii="Times New Roman" w:eastAsia="標楷體" w:hAnsi="Times New Roman" w:cs="Times New Roman"/>
                <w:sz w:val="28"/>
                <w:szCs w:val="28"/>
                <w:lang w:eastAsia="zh-CN"/>
              </w:rPr>
              <w:t>持續向下</w:t>
            </w:r>
            <w:r w:rsidR="006F4601" w:rsidRPr="00B163CC">
              <w:rPr>
                <w:rFonts w:ascii="Times New Roman" w:eastAsia="標楷體" w:hAnsi="Times New Roman" w:cs="Times New Roman"/>
                <w:sz w:val="28"/>
                <w:szCs w:val="28"/>
                <w:lang w:eastAsia="zh-CN"/>
              </w:rPr>
              <w:t>，對</w:t>
            </w:r>
            <w:r w:rsidR="00715D0D" w:rsidRPr="00B163CC">
              <w:rPr>
                <w:rFonts w:ascii="Times New Roman" w:eastAsia="標楷體" w:hAnsi="Times New Roman" w:cs="Times New Roman"/>
                <w:sz w:val="28"/>
                <w:szCs w:val="28"/>
                <w:lang w:eastAsia="zh-CN"/>
              </w:rPr>
              <w:t>其</w:t>
            </w:r>
            <w:r w:rsidR="0093696D" w:rsidRPr="00B163CC">
              <w:rPr>
                <w:rFonts w:ascii="Times New Roman" w:eastAsia="標楷體" w:hAnsi="Times New Roman" w:cs="Times New Roman"/>
                <w:sz w:val="28"/>
                <w:szCs w:val="28"/>
                <w:lang w:eastAsia="zh-CN"/>
              </w:rPr>
              <w:t>就業及進</w:t>
            </w:r>
            <w:r w:rsidR="001C6C00" w:rsidRPr="00B163CC">
              <w:rPr>
                <w:rFonts w:ascii="Times New Roman" w:eastAsia="標楷體" w:hAnsi="Times New Roman" w:cs="Times New Roman"/>
                <w:sz w:val="28"/>
                <w:szCs w:val="28"/>
                <w:lang w:eastAsia="zh-CN"/>
              </w:rPr>
              <w:t>而對</w:t>
            </w:r>
            <w:r w:rsidR="00467D1C" w:rsidRPr="00B163CC">
              <w:rPr>
                <w:rFonts w:ascii="Times New Roman" w:eastAsia="標楷體" w:hAnsi="Times New Roman" w:cs="Times New Roman"/>
                <w:sz w:val="28"/>
                <w:szCs w:val="28"/>
                <w:lang w:eastAsia="zh-CN"/>
              </w:rPr>
              <w:t>國內消費力當然</w:t>
            </w:r>
            <w:r w:rsidR="00167245" w:rsidRPr="00B163CC">
              <w:rPr>
                <w:rFonts w:ascii="Times New Roman" w:eastAsia="標楷體" w:hAnsi="Times New Roman" w:cs="Times New Roman"/>
                <w:sz w:val="28"/>
                <w:szCs w:val="28"/>
                <w:lang w:eastAsia="zh-CN"/>
              </w:rPr>
              <w:t>有</w:t>
            </w:r>
            <w:r w:rsidR="00467D1C" w:rsidRPr="00B163CC">
              <w:rPr>
                <w:rFonts w:ascii="Times New Roman" w:eastAsia="標楷體" w:hAnsi="Times New Roman" w:cs="Times New Roman"/>
                <w:sz w:val="28"/>
                <w:szCs w:val="28"/>
                <w:lang w:eastAsia="zh-CN"/>
              </w:rPr>
              <w:t>不利</w:t>
            </w:r>
            <w:r w:rsidR="00167245" w:rsidRPr="00B163CC">
              <w:rPr>
                <w:rFonts w:ascii="Times New Roman" w:eastAsia="標楷體" w:hAnsi="Times New Roman" w:cs="Times New Roman"/>
                <w:sz w:val="28"/>
                <w:szCs w:val="28"/>
                <w:lang w:eastAsia="zh-CN"/>
              </w:rPr>
              <w:t>影響</w:t>
            </w:r>
            <w:r w:rsidR="00F21E54" w:rsidRPr="00B163CC">
              <w:rPr>
                <w:rFonts w:ascii="Times New Roman" w:eastAsia="標楷體" w:hAnsi="Times New Roman" w:cs="Times New Roman"/>
                <w:sz w:val="28"/>
                <w:szCs w:val="28"/>
                <w:lang w:eastAsia="zh-CN"/>
              </w:rPr>
              <w:t>，更值</w:t>
            </w:r>
            <w:r w:rsidR="008916C1" w:rsidRPr="00B163CC">
              <w:rPr>
                <w:rFonts w:ascii="Times New Roman" w:eastAsia="標楷體" w:hAnsi="Times New Roman" w:cs="Times New Roman"/>
                <w:sz w:val="28"/>
                <w:szCs w:val="28"/>
                <w:lang w:eastAsia="zh-CN"/>
              </w:rPr>
              <w:t>正視。</w:t>
            </w:r>
            <w:r w:rsidR="002D32EA" w:rsidRPr="00B163CC">
              <w:rPr>
                <w:rFonts w:ascii="Times New Roman" w:eastAsia="標楷體" w:hAnsi="Times New Roman" w:cs="Times New Roman"/>
                <w:sz w:val="28"/>
                <w:szCs w:val="28"/>
                <w:lang w:eastAsia="zh-CN"/>
              </w:rPr>
              <w:t>尤其</w:t>
            </w:r>
            <w:r w:rsidR="00CE2B10" w:rsidRPr="00B163CC">
              <w:rPr>
                <w:rFonts w:ascii="Times New Roman" w:eastAsia="標楷體" w:hAnsi="Times New Roman" w:cs="Times New Roman"/>
                <w:sz w:val="28"/>
                <w:szCs w:val="28"/>
                <w:lang w:eastAsia="zh-CN"/>
              </w:rPr>
              <w:t>台灣服務業的</w:t>
            </w:r>
            <w:r w:rsidR="00184F3D" w:rsidRPr="00B163CC">
              <w:rPr>
                <w:rFonts w:ascii="Times New Roman" w:eastAsia="標楷體" w:hAnsi="Times New Roman" w:cs="Times New Roman"/>
                <w:sz w:val="28"/>
                <w:szCs w:val="28"/>
                <w:lang w:eastAsia="zh-CN"/>
              </w:rPr>
              <w:t>就業人數</w:t>
            </w:r>
            <w:r w:rsidR="008A28DA" w:rsidRPr="00B163CC">
              <w:rPr>
                <w:rFonts w:ascii="Times New Roman" w:eastAsia="標楷體" w:hAnsi="Times New Roman" w:cs="Times New Roman"/>
                <w:sz w:val="28"/>
                <w:szCs w:val="28"/>
                <w:lang w:eastAsia="zh-CN"/>
              </w:rPr>
              <w:t>高達</w:t>
            </w:r>
            <w:r w:rsidR="000D6A85" w:rsidRPr="00B163CC">
              <w:rPr>
                <w:rFonts w:ascii="Times New Roman" w:eastAsia="標楷體" w:hAnsi="Times New Roman" w:cs="Times New Roman"/>
                <w:sz w:val="28"/>
                <w:szCs w:val="28"/>
                <w:lang w:eastAsia="zh-CN"/>
              </w:rPr>
              <w:t>製造</w:t>
            </w:r>
            <w:r w:rsidR="008A28DA" w:rsidRPr="00B163CC">
              <w:rPr>
                <w:rFonts w:ascii="Times New Roman" w:eastAsia="標楷體" w:hAnsi="Times New Roman" w:cs="Times New Roman"/>
                <w:sz w:val="28"/>
                <w:szCs w:val="28"/>
                <w:lang w:eastAsia="zh-CN"/>
              </w:rPr>
              <w:t>業</w:t>
            </w:r>
            <w:r w:rsidR="003B1BEB" w:rsidRPr="00B163CC">
              <w:rPr>
                <w:rFonts w:ascii="Times New Roman" w:eastAsia="標楷體" w:hAnsi="Times New Roman" w:cs="Times New Roman"/>
                <w:sz w:val="28"/>
                <w:szCs w:val="28"/>
                <w:lang w:eastAsia="zh-CN"/>
              </w:rPr>
              <w:t>的</w:t>
            </w:r>
            <w:r w:rsidR="00FE10F4" w:rsidRPr="00B163CC">
              <w:rPr>
                <w:rFonts w:ascii="Times New Roman" w:eastAsia="標楷體" w:hAnsi="Times New Roman" w:cs="Times New Roman"/>
                <w:sz w:val="28"/>
                <w:szCs w:val="28"/>
                <w:lang w:eastAsia="zh-CN"/>
              </w:rPr>
              <w:t>1.8</w:t>
            </w:r>
            <w:r w:rsidR="00FE10F4" w:rsidRPr="00B163CC">
              <w:rPr>
                <w:rFonts w:ascii="Times New Roman" w:eastAsia="標楷體" w:hAnsi="Times New Roman" w:cs="Times New Roman"/>
                <w:sz w:val="28"/>
                <w:szCs w:val="28"/>
                <w:lang w:eastAsia="zh-CN"/>
              </w:rPr>
              <w:t>倍</w:t>
            </w:r>
            <w:r w:rsidR="0069709D" w:rsidRPr="00B163CC">
              <w:rPr>
                <w:rFonts w:ascii="Times New Roman" w:eastAsia="標楷體" w:hAnsi="Times New Roman" w:cs="Times New Roman"/>
                <w:sz w:val="28"/>
                <w:szCs w:val="28"/>
                <w:lang w:eastAsia="zh-CN"/>
              </w:rPr>
              <w:t>，</w:t>
            </w:r>
            <w:r w:rsidR="004412F8" w:rsidRPr="00B163CC">
              <w:rPr>
                <w:rFonts w:ascii="Times New Roman" w:eastAsia="標楷體" w:hAnsi="Times New Roman" w:cs="Times New Roman"/>
                <w:sz w:val="28"/>
                <w:szCs w:val="28"/>
                <w:lang w:eastAsia="zh-CN"/>
              </w:rPr>
              <w:t>即</w:t>
            </w:r>
            <w:r w:rsidR="00FD0AAD" w:rsidRPr="00B163CC">
              <w:rPr>
                <w:rFonts w:ascii="Times New Roman" w:eastAsia="標楷體" w:hAnsi="Times New Roman" w:cs="Times New Roman"/>
                <w:sz w:val="28"/>
                <w:szCs w:val="28"/>
                <w:lang w:eastAsia="zh-CN"/>
              </w:rPr>
              <w:t>使外銷導向的製造業景氣</w:t>
            </w:r>
            <w:r w:rsidR="00C746FA" w:rsidRPr="00B163CC">
              <w:rPr>
                <w:rFonts w:ascii="Times New Roman" w:eastAsia="標楷體" w:hAnsi="Times New Roman" w:cs="Times New Roman"/>
                <w:sz w:val="28"/>
                <w:szCs w:val="28"/>
                <w:lang w:eastAsia="zh-CN"/>
              </w:rPr>
              <w:t>良好，但服務業景氣</w:t>
            </w:r>
            <w:r w:rsidR="009F0E4D" w:rsidRPr="00B163CC">
              <w:rPr>
                <w:rFonts w:ascii="Times New Roman" w:eastAsia="標楷體" w:hAnsi="Times New Roman" w:cs="Times New Roman"/>
                <w:sz w:val="28"/>
                <w:szCs w:val="28"/>
                <w:lang w:eastAsia="zh-CN"/>
              </w:rPr>
              <w:t>影響</w:t>
            </w:r>
            <w:r w:rsidR="00A40760" w:rsidRPr="00B163CC">
              <w:rPr>
                <w:rFonts w:ascii="Times New Roman" w:eastAsia="標楷體" w:hAnsi="Times New Roman" w:cs="Times New Roman"/>
                <w:sz w:val="28"/>
                <w:szCs w:val="28"/>
                <w:lang w:eastAsia="zh-CN"/>
              </w:rPr>
              <w:t>就業</w:t>
            </w:r>
            <w:r w:rsidR="00AD5F54" w:rsidRPr="00B163CC">
              <w:rPr>
                <w:rFonts w:ascii="Times New Roman" w:eastAsia="標楷體" w:hAnsi="Times New Roman" w:cs="Times New Roman"/>
                <w:sz w:val="28"/>
                <w:szCs w:val="28"/>
                <w:lang w:eastAsia="zh-CN"/>
              </w:rPr>
              <w:t>進</w:t>
            </w:r>
            <w:r w:rsidR="000F2123" w:rsidRPr="00B163CC">
              <w:rPr>
                <w:rFonts w:ascii="Times New Roman" w:eastAsia="標楷體" w:hAnsi="Times New Roman" w:cs="Times New Roman"/>
                <w:sz w:val="28"/>
                <w:szCs w:val="28"/>
                <w:lang w:eastAsia="zh-CN"/>
              </w:rPr>
              <w:t>而消費的</w:t>
            </w:r>
            <w:r w:rsidR="00C34F52" w:rsidRPr="00B163CC">
              <w:rPr>
                <w:rFonts w:ascii="Times New Roman" w:eastAsia="標楷體" w:hAnsi="Times New Roman" w:cs="Times New Roman"/>
                <w:sz w:val="28"/>
                <w:szCs w:val="28"/>
                <w:lang w:eastAsia="zh-CN"/>
              </w:rPr>
              <w:t>比重更大。</w:t>
            </w:r>
          </w:p>
          <w:p w14:paraId="3CFE6E4B" w14:textId="1C292A5C" w:rsidR="00586D57" w:rsidRPr="00B163CC" w:rsidRDefault="00586D57" w:rsidP="00E300BA">
            <w:pPr>
              <w:adjustRightInd w:val="0"/>
              <w:ind w:firstLineChars="200" w:firstLine="560"/>
              <w:rPr>
                <w:rFonts w:ascii="Times New Roman" w:eastAsia="標楷體" w:hAnsi="Times New Roman" w:cs="Times New Roman"/>
                <w:sz w:val="28"/>
                <w:szCs w:val="28"/>
                <w:lang w:eastAsia="zh-CN"/>
              </w:rPr>
            </w:pPr>
            <w:r w:rsidRPr="00B163CC">
              <w:rPr>
                <w:rFonts w:ascii="Times New Roman" w:eastAsia="標楷體" w:hAnsi="Times New Roman" w:cs="Times New Roman"/>
                <w:sz w:val="28"/>
                <w:szCs w:val="28"/>
                <w:lang w:eastAsia="zh-CN"/>
              </w:rPr>
              <w:t>再</w:t>
            </w:r>
            <w:r w:rsidR="00FB2232" w:rsidRPr="00B163CC">
              <w:rPr>
                <w:rFonts w:ascii="Times New Roman" w:eastAsia="標楷體" w:hAnsi="Times New Roman" w:cs="Times New Roman"/>
                <w:sz w:val="28"/>
                <w:szCs w:val="28"/>
                <w:lang w:eastAsia="zh-CN"/>
              </w:rPr>
              <w:t>從景氣循環</w:t>
            </w:r>
            <w:r w:rsidR="00D37FA3" w:rsidRPr="00B163CC">
              <w:rPr>
                <w:rFonts w:ascii="Times New Roman" w:eastAsia="標楷體" w:hAnsi="Times New Roman" w:cs="Times New Roman"/>
                <w:sz w:val="28"/>
                <w:szCs w:val="28"/>
                <w:lang w:eastAsia="zh-CN"/>
              </w:rPr>
              <w:t>指標來看，</w:t>
            </w:r>
            <w:r w:rsidR="00542E01" w:rsidRPr="00B163CC">
              <w:rPr>
                <w:rFonts w:ascii="Times New Roman" w:eastAsia="標楷體" w:hAnsi="Times New Roman" w:cs="Times New Roman"/>
                <w:sz w:val="28"/>
                <w:szCs w:val="28"/>
                <w:lang w:eastAsia="zh-CN"/>
              </w:rPr>
              <w:t>失業率</w:t>
            </w:r>
            <w:r w:rsidR="002B3663" w:rsidRPr="00B163CC">
              <w:rPr>
                <w:rFonts w:ascii="Times New Roman" w:eastAsia="標楷體" w:hAnsi="Times New Roman" w:cs="Times New Roman"/>
                <w:sz w:val="28"/>
                <w:szCs w:val="28"/>
                <w:lang w:eastAsia="zh-CN"/>
              </w:rPr>
              <w:t>是個落後指標</w:t>
            </w:r>
            <w:r w:rsidR="002F3EC0" w:rsidRPr="00B163CC">
              <w:rPr>
                <w:rFonts w:ascii="Times New Roman" w:eastAsia="標楷體" w:hAnsi="Times New Roman" w:cs="Times New Roman"/>
                <w:sz w:val="28"/>
                <w:szCs w:val="28"/>
                <w:lang w:eastAsia="zh-CN"/>
              </w:rPr>
              <w:t>，</w:t>
            </w:r>
            <w:r w:rsidR="0072307C" w:rsidRPr="00B163CC">
              <w:rPr>
                <w:rFonts w:ascii="Times New Roman" w:eastAsia="標楷體" w:hAnsi="Times New Roman" w:cs="Times New Roman"/>
                <w:sz w:val="28"/>
                <w:szCs w:val="28"/>
                <w:lang w:eastAsia="zh-CN"/>
              </w:rPr>
              <w:t>固然會因景氣</w:t>
            </w:r>
            <w:r w:rsidR="00E54C04" w:rsidRPr="00B163CC">
              <w:rPr>
                <w:rFonts w:ascii="Times New Roman" w:eastAsia="標楷體" w:hAnsi="Times New Roman" w:cs="Times New Roman"/>
                <w:sz w:val="28"/>
                <w:szCs w:val="28"/>
                <w:lang w:eastAsia="zh-CN"/>
              </w:rPr>
              <w:t>好轉而降低</w:t>
            </w:r>
            <w:r w:rsidR="00280237" w:rsidRPr="00B163CC">
              <w:rPr>
                <w:rFonts w:ascii="Times New Roman" w:eastAsia="標楷體" w:hAnsi="Times New Roman" w:cs="Times New Roman"/>
                <w:sz w:val="28"/>
                <w:szCs w:val="28"/>
                <w:lang w:eastAsia="zh-CN"/>
              </w:rPr>
              <w:t>，但</w:t>
            </w:r>
            <w:r w:rsidR="002F3EC0" w:rsidRPr="00B163CC">
              <w:rPr>
                <w:rFonts w:ascii="Times New Roman" w:eastAsia="標楷體" w:hAnsi="Times New Roman" w:cs="Times New Roman"/>
                <w:sz w:val="28"/>
                <w:szCs w:val="28"/>
                <w:lang w:eastAsia="zh-CN"/>
              </w:rPr>
              <w:t>不會</w:t>
            </w:r>
            <w:r w:rsidR="00CF6757" w:rsidRPr="00B163CC">
              <w:rPr>
                <w:rFonts w:ascii="Times New Roman" w:eastAsia="標楷體" w:hAnsi="Times New Roman" w:cs="Times New Roman"/>
                <w:sz w:val="28"/>
                <w:szCs w:val="28"/>
                <w:lang w:eastAsia="zh-CN"/>
              </w:rPr>
              <w:t>在領先指標轉降時立見</w:t>
            </w:r>
            <w:r w:rsidR="00865223" w:rsidRPr="00B163CC">
              <w:rPr>
                <w:rFonts w:ascii="Times New Roman" w:eastAsia="標楷體" w:hAnsi="Times New Roman" w:cs="Times New Roman"/>
                <w:sz w:val="28"/>
                <w:szCs w:val="28"/>
                <w:lang w:eastAsia="zh-CN"/>
              </w:rPr>
              <w:t>提高，</w:t>
            </w:r>
            <w:r w:rsidR="000666A5" w:rsidRPr="00B163CC">
              <w:rPr>
                <w:rFonts w:ascii="Times New Roman" w:eastAsia="標楷體" w:hAnsi="Times New Roman" w:cs="Times New Roman"/>
                <w:sz w:val="28"/>
                <w:szCs w:val="28"/>
                <w:lang w:eastAsia="zh-CN"/>
              </w:rPr>
              <w:t>要等到衰退成定局</w:t>
            </w:r>
            <w:r w:rsidR="003958FF" w:rsidRPr="00B163CC">
              <w:rPr>
                <w:rFonts w:ascii="Times New Roman" w:eastAsia="標楷體" w:hAnsi="Times New Roman" w:cs="Times New Roman"/>
                <w:sz w:val="28"/>
                <w:szCs w:val="28"/>
                <w:lang w:eastAsia="zh-CN"/>
              </w:rPr>
              <w:t>以後才會顯現</w:t>
            </w:r>
            <w:r w:rsidR="00F16619" w:rsidRPr="00B163CC">
              <w:rPr>
                <w:rFonts w:ascii="Times New Roman" w:eastAsia="標楷體" w:hAnsi="Times New Roman" w:cs="Times New Roman"/>
                <w:sz w:val="28"/>
                <w:szCs w:val="28"/>
                <w:lang w:eastAsia="zh-CN"/>
              </w:rPr>
              <w:t>，</w:t>
            </w:r>
            <w:r w:rsidR="00395294" w:rsidRPr="00B163CC">
              <w:rPr>
                <w:rFonts w:ascii="Times New Roman" w:eastAsia="標楷體" w:hAnsi="Times New Roman" w:cs="Times New Roman"/>
                <w:sz w:val="28"/>
                <w:szCs w:val="28"/>
                <w:lang w:eastAsia="zh-CN"/>
              </w:rPr>
              <w:t>因此</w:t>
            </w:r>
            <w:r w:rsidR="00F16619" w:rsidRPr="00B163CC">
              <w:rPr>
                <w:rFonts w:ascii="Times New Roman" w:eastAsia="標楷體" w:hAnsi="Times New Roman" w:cs="Times New Roman"/>
                <w:sz w:val="28"/>
                <w:szCs w:val="28"/>
                <w:lang w:eastAsia="zh-CN"/>
              </w:rPr>
              <w:t>要</w:t>
            </w:r>
            <w:r w:rsidR="00030801" w:rsidRPr="00B163CC">
              <w:rPr>
                <w:rFonts w:ascii="Times New Roman" w:eastAsia="標楷體" w:hAnsi="Times New Roman" w:cs="Times New Roman"/>
                <w:sz w:val="28"/>
                <w:szCs w:val="28"/>
                <w:lang w:eastAsia="zh-CN"/>
              </w:rPr>
              <w:t>降低失業率或</w:t>
            </w:r>
            <w:r w:rsidR="00F16619" w:rsidRPr="00B163CC">
              <w:rPr>
                <w:rFonts w:ascii="Times New Roman" w:eastAsia="標楷體" w:hAnsi="Times New Roman" w:cs="Times New Roman"/>
                <w:sz w:val="28"/>
                <w:szCs w:val="28"/>
                <w:lang w:eastAsia="zh-CN"/>
              </w:rPr>
              <w:t>預防失業</w:t>
            </w:r>
            <w:r w:rsidR="0044556C" w:rsidRPr="00B163CC">
              <w:rPr>
                <w:rFonts w:ascii="Times New Roman" w:eastAsia="標楷體" w:hAnsi="Times New Roman" w:cs="Times New Roman"/>
                <w:sz w:val="28"/>
                <w:szCs w:val="28"/>
                <w:lang w:eastAsia="zh-CN"/>
              </w:rPr>
              <w:t>問題惡化</w:t>
            </w:r>
            <w:r w:rsidR="00030801" w:rsidRPr="00B163CC">
              <w:rPr>
                <w:rFonts w:ascii="Times New Roman" w:eastAsia="標楷體" w:hAnsi="Times New Roman" w:cs="Times New Roman"/>
                <w:sz w:val="28"/>
                <w:szCs w:val="28"/>
                <w:lang w:eastAsia="zh-CN"/>
              </w:rPr>
              <w:t>就須努力維持景氣</w:t>
            </w:r>
            <w:r w:rsidR="00A81CD2" w:rsidRPr="00B163CC">
              <w:rPr>
                <w:rFonts w:ascii="Times New Roman" w:eastAsia="標楷體" w:hAnsi="Times New Roman" w:cs="Times New Roman"/>
                <w:sz w:val="28"/>
                <w:szCs w:val="28"/>
                <w:lang w:eastAsia="zh-CN"/>
              </w:rPr>
              <w:t>榮景</w:t>
            </w:r>
            <w:r w:rsidR="00FB2232" w:rsidRPr="00B163CC">
              <w:rPr>
                <w:rFonts w:ascii="Times New Roman" w:eastAsia="標楷體" w:hAnsi="Times New Roman" w:cs="Times New Roman"/>
                <w:sz w:val="28"/>
                <w:szCs w:val="28"/>
                <w:lang w:eastAsia="zh-CN"/>
              </w:rPr>
              <w:t>。</w:t>
            </w:r>
          </w:p>
          <w:p w14:paraId="793E3C5D" w14:textId="2866350B" w:rsidR="00BD0CFA" w:rsidRPr="00B163CC" w:rsidRDefault="00BD0CFA" w:rsidP="00E300BA">
            <w:pPr>
              <w:adjustRightInd w:val="0"/>
              <w:ind w:firstLineChars="200" w:firstLine="560"/>
              <w:rPr>
                <w:rFonts w:ascii="Times New Roman" w:eastAsia="標楷體" w:hAnsi="Times New Roman" w:cs="Times New Roman"/>
                <w:sz w:val="28"/>
                <w:szCs w:val="28"/>
                <w:lang w:eastAsia="zh-CN"/>
              </w:rPr>
            </w:pPr>
            <w:r w:rsidRPr="00B163CC">
              <w:rPr>
                <w:rFonts w:ascii="Times New Roman" w:eastAsia="標楷體" w:hAnsi="Times New Roman" w:cs="Times New Roman"/>
                <w:sz w:val="28"/>
                <w:szCs w:val="28"/>
                <w:lang w:eastAsia="zh-CN"/>
              </w:rPr>
              <w:t>再從台灣整體就業市場來看，一直存在著明顯的結構性失業</w:t>
            </w:r>
            <w:r w:rsidR="00F77823" w:rsidRPr="00B163CC">
              <w:rPr>
                <w:rFonts w:ascii="Times New Roman" w:eastAsia="標楷體" w:hAnsi="Times New Roman" w:cs="Times New Roman"/>
                <w:sz w:val="28"/>
                <w:szCs w:val="28"/>
                <w:lang w:eastAsia="zh-CN"/>
              </w:rPr>
              <w:t>，</w:t>
            </w:r>
            <w:r w:rsidR="00825CA7" w:rsidRPr="00B163CC">
              <w:rPr>
                <w:rFonts w:ascii="Times New Roman" w:eastAsia="標楷體" w:hAnsi="Times New Roman" w:cs="Times New Roman"/>
                <w:sz w:val="28"/>
                <w:szCs w:val="28"/>
                <w:lang w:eastAsia="zh-CN"/>
              </w:rPr>
              <w:t>最顯著的就是高學歷的失業問題。</w:t>
            </w:r>
            <w:r w:rsidR="00F77823" w:rsidRPr="00B163CC">
              <w:rPr>
                <w:rFonts w:ascii="Times New Roman" w:eastAsia="標楷體" w:hAnsi="Times New Roman" w:cs="Times New Roman"/>
                <w:sz w:val="28"/>
                <w:szCs w:val="28"/>
                <w:lang w:eastAsia="zh-CN"/>
              </w:rPr>
              <w:t>去年是</w:t>
            </w:r>
            <w:r w:rsidR="00C43D43" w:rsidRPr="00B163CC">
              <w:rPr>
                <w:rFonts w:ascii="Times New Roman" w:eastAsia="標楷體" w:hAnsi="Times New Roman" w:cs="Times New Roman"/>
                <w:sz w:val="28"/>
                <w:szCs w:val="28"/>
                <w:lang w:eastAsia="zh-CN"/>
              </w:rPr>
              <w:t>景氣復</w:t>
            </w:r>
            <w:r w:rsidR="003E737C">
              <w:rPr>
                <w:rFonts w:ascii="Times New Roman" w:eastAsia="標楷體" w:hAnsi="Times New Roman" w:cs="Times New Roman" w:hint="eastAsia"/>
                <w:sz w:val="28"/>
                <w:szCs w:val="28"/>
                <w:lang w:eastAsia="zh-CN"/>
              </w:rPr>
              <w:t>甦</w:t>
            </w:r>
            <w:r w:rsidR="00C43D43" w:rsidRPr="00B163CC">
              <w:rPr>
                <w:rFonts w:ascii="Times New Roman" w:eastAsia="標楷體" w:hAnsi="Times New Roman" w:cs="Times New Roman"/>
                <w:sz w:val="28"/>
                <w:szCs w:val="28"/>
                <w:lang w:eastAsia="zh-CN"/>
              </w:rPr>
              <w:t>的一年</w:t>
            </w:r>
            <w:r w:rsidR="00A636AD" w:rsidRPr="00B163CC">
              <w:rPr>
                <w:rFonts w:ascii="Times New Roman" w:eastAsia="標楷體" w:hAnsi="Times New Roman" w:cs="Times New Roman"/>
                <w:sz w:val="28"/>
                <w:szCs w:val="28"/>
                <w:lang w:eastAsia="zh-CN"/>
              </w:rPr>
              <w:t>而</w:t>
            </w:r>
            <w:r w:rsidR="004D2CD6" w:rsidRPr="00B163CC">
              <w:rPr>
                <w:rFonts w:ascii="Times New Roman" w:eastAsia="標楷體" w:hAnsi="Times New Roman" w:cs="Times New Roman"/>
                <w:sz w:val="28"/>
                <w:szCs w:val="28"/>
                <w:lang w:eastAsia="zh-CN"/>
              </w:rPr>
              <w:t>且持續至今</w:t>
            </w:r>
            <w:r w:rsidR="00C43D43" w:rsidRPr="00B163CC">
              <w:rPr>
                <w:rFonts w:ascii="Times New Roman" w:eastAsia="標楷體" w:hAnsi="Times New Roman" w:cs="Times New Roman"/>
                <w:sz w:val="28"/>
                <w:szCs w:val="28"/>
                <w:lang w:eastAsia="zh-CN"/>
              </w:rPr>
              <w:t>，</w:t>
            </w:r>
            <w:r w:rsidR="008D7DB2" w:rsidRPr="00B163CC">
              <w:rPr>
                <w:rFonts w:ascii="Times New Roman" w:eastAsia="標楷體" w:hAnsi="Times New Roman" w:cs="Times New Roman"/>
                <w:sz w:val="28"/>
                <w:szCs w:val="28"/>
                <w:lang w:eastAsia="zh-CN"/>
              </w:rPr>
              <w:t>因相對</w:t>
            </w:r>
            <w:r w:rsidR="009F065B" w:rsidRPr="00B163CC">
              <w:rPr>
                <w:rFonts w:ascii="Times New Roman" w:eastAsia="標楷體" w:hAnsi="Times New Roman" w:cs="Times New Roman"/>
                <w:sz w:val="28"/>
                <w:szCs w:val="28"/>
                <w:lang w:eastAsia="zh-CN"/>
              </w:rPr>
              <w:t>上</w:t>
            </w:r>
            <w:r w:rsidR="00714447" w:rsidRPr="00B163CC">
              <w:rPr>
                <w:rFonts w:ascii="Times New Roman" w:eastAsia="標楷體" w:hAnsi="Times New Roman" w:cs="Times New Roman"/>
                <w:sz w:val="28"/>
                <w:szCs w:val="28"/>
                <w:lang w:eastAsia="zh-CN"/>
              </w:rPr>
              <w:t>有</w:t>
            </w:r>
            <w:r w:rsidR="008D7DB2" w:rsidRPr="00B163CC">
              <w:rPr>
                <w:rFonts w:ascii="Times New Roman" w:eastAsia="標楷體" w:hAnsi="Times New Roman" w:cs="Times New Roman"/>
                <w:sz w:val="28"/>
                <w:szCs w:val="28"/>
                <w:lang w:eastAsia="zh-CN"/>
              </w:rPr>
              <w:t>較高成長</w:t>
            </w:r>
            <w:r w:rsidR="00AE2E7E" w:rsidRPr="00B163CC">
              <w:rPr>
                <w:rFonts w:ascii="Times New Roman" w:eastAsia="標楷體" w:hAnsi="Times New Roman" w:cs="Times New Roman"/>
                <w:sz w:val="28"/>
                <w:szCs w:val="28"/>
                <w:lang w:eastAsia="zh-CN"/>
              </w:rPr>
              <w:t>與相對平穩的能源與</w:t>
            </w:r>
            <w:r w:rsidR="005D083D" w:rsidRPr="00B163CC">
              <w:rPr>
                <w:rFonts w:ascii="Times New Roman" w:eastAsia="標楷體" w:hAnsi="Times New Roman" w:cs="Times New Roman"/>
                <w:sz w:val="28"/>
                <w:szCs w:val="28"/>
                <w:lang w:eastAsia="zh-CN"/>
              </w:rPr>
              <w:t>消費者物價而有「金髮女郎經濟</w:t>
            </w:r>
            <w:r w:rsidR="00463690" w:rsidRPr="00B163CC">
              <w:rPr>
                <w:rFonts w:ascii="Times New Roman" w:eastAsia="標楷體" w:hAnsi="Times New Roman" w:cs="Times New Roman"/>
                <w:sz w:val="28"/>
                <w:szCs w:val="28"/>
                <w:lang w:eastAsia="zh-CN"/>
              </w:rPr>
              <w:t>」之稱，台灣整體失業率也從</w:t>
            </w:r>
            <w:r w:rsidR="00463690" w:rsidRPr="00B163CC">
              <w:rPr>
                <w:rFonts w:ascii="Times New Roman" w:eastAsia="標楷體" w:hAnsi="Times New Roman" w:cs="Times New Roman"/>
                <w:sz w:val="28"/>
                <w:szCs w:val="28"/>
                <w:lang w:eastAsia="zh-CN"/>
              </w:rPr>
              <w:t>2016</w:t>
            </w:r>
            <w:r w:rsidR="00463690" w:rsidRPr="00B163CC">
              <w:rPr>
                <w:rFonts w:ascii="Times New Roman" w:eastAsia="標楷體" w:hAnsi="Times New Roman" w:cs="Times New Roman"/>
                <w:sz w:val="28"/>
                <w:szCs w:val="28"/>
                <w:lang w:eastAsia="zh-CN"/>
              </w:rPr>
              <w:t>的</w:t>
            </w:r>
            <w:r w:rsidR="00A636AD" w:rsidRPr="00B163CC">
              <w:rPr>
                <w:rFonts w:ascii="Times New Roman" w:eastAsia="標楷體" w:hAnsi="Times New Roman" w:cs="Times New Roman"/>
                <w:sz w:val="28"/>
                <w:szCs w:val="28"/>
                <w:lang w:eastAsia="zh-CN"/>
              </w:rPr>
              <w:t>3.92%</w:t>
            </w:r>
            <w:r w:rsidR="00A636AD" w:rsidRPr="00B163CC">
              <w:rPr>
                <w:rFonts w:ascii="Times New Roman" w:eastAsia="標楷體" w:hAnsi="Times New Roman" w:cs="Times New Roman"/>
                <w:sz w:val="28"/>
                <w:szCs w:val="28"/>
                <w:lang w:eastAsia="zh-CN"/>
              </w:rPr>
              <w:t>下降</w:t>
            </w:r>
            <w:r w:rsidR="004D2CD6" w:rsidRPr="00B163CC">
              <w:rPr>
                <w:rFonts w:ascii="Times New Roman" w:eastAsia="標楷體" w:hAnsi="Times New Roman" w:cs="Times New Roman"/>
                <w:sz w:val="28"/>
                <w:szCs w:val="28"/>
                <w:lang w:eastAsia="zh-CN"/>
              </w:rPr>
              <w:t>為去年的</w:t>
            </w:r>
            <w:r w:rsidR="004D2CD6" w:rsidRPr="00B163CC">
              <w:rPr>
                <w:rFonts w:ascii="Times New Roman" w:eastAsia="標楷體" w:hAnsi="Times New Roman" w:cs="Times New Roman"/>
                <w:sz w:val="28"/>
                <w:szCs w:val="28"/>
                <w:lang w:eastAsia="zh-CN"/>
              </w:rPr>
              <w:t>3.76%</w:t>
            </w:r>
            <w:r w:rsidR="00F45D1F" w:rsidRPr="00B163CC">
              <w:rPr>
                <w:rFonts w:ascii="Times New Roman" w:eastAsia="標楷體" w:hAnsi="Times New Roman" w:cs="Times New Roman"/>
                <w:sz w:val="28"/>
                <w:szCs w:val="28"/>
                <w:lang w:eastAsia="zh-CN"/>
              </w:rPr>
              <w:t>，今年上半年繼續下降為</w:t>
            </w:r>
            <w:r w:rsidR="00F45D1F" w:rsidRPr="00B163CC">
              <w:rPr>
                <w:rFonts w:ascii="Times New Roman" w:eastAsia="標楷體" w:hAnsi="Times New Roman" w:cs="Times New Roman"/>
                <w:sz w:val="28"/>
                <w:szCs w:val="28"/>
                <w:lang w:eastAsia="zh-CN"/>
              </w:rPr>
              <w:t>3.66</w:t>
            </w:r>
            <w:r w:rsidR="00B53F1E" w:rsidRPr="00B163CC">
              <w:rPr>
                <w:rFonts w:ascii="Times New Roman" w:eastAsia="標楷體" w:hAnsi="Times New Roman" w:cs="Times New Roman"/>
                <w:sz w:val="28"/>
                <w:szCs w:val="28"/>
                <w:lang w:eastAsia="zh-CN"/>
              </w:rPr>
              <w:t>%</w:t>
            </w:r>
            <w:r w:rsidR="00B53F1E" w:rsidRPr="00B163CC">
              <w:rPr>
                <w:rFonts w:ascii="Times New Roman" w:eastAsia="標楷體" w:hAnsi="Times New Roman" w:cs="Times New Roman"/>
                <w:sz w:val="28"/>
                <w:szCs w:val="28"/>
                <w:lang w:eastAsia="zh-CN"/>
              </w:rPr>
              <w:t>。</w:t>
            </w:r>
            <w:r w:rsidR="00DF7B8D" w:rsidRPr="00B163CC">
              <w:rPr>
                <w:rFonts w:ascii="Times New Roman" w:eastAsia="標楷體" w:hAnsi="Times New Roman" w:cs="Times New Roman"/>
                <w:sz w:val="28"/>
                <w:szCs w:val="28"/>
                <w:lang w:eastAsia="zh-CN"/>
              </w:rPr>
              <w:t>同時</w:t>
            </w:r>
            <w:r w:rsidR="00E3564D" w:rsidRPr="00B163CC">
              <w:rPr>
                <w:rFonts w:ascii="Times New Roman" w:eastAsia="標楷體" w:hAnsi="Times New Roman" w:cs="Times New Roman"/>
                <w:sz w:val="28"/>
                <w:szCs w:val="28"/>
                <w:lang w:eastAsia="zh-CN"/>
              </w:rPr>
              <w:t>，</w:t>
            </w:r>
            <w:r w:rsidR="00A563C1" w:rsidRPr="00B163CC">
              <w:rPr>
                <w:rFonts w:ascii="Times New Roman" w:eastAsia="標楷體" w:hAnsi="Times New Roman" w:cs="Times New Roman"/>
                <w:sz w:val="28"/>
                <w:szCs w:val="28"/>
                <w:lang w:eastAsia="zh-CN"/>
              </w:rPr>
              <w:t>具</w:t>
            </w:r>
            <w:r w:rsidR="00540B22" w:rsidRPr="00B163CC">
              <w:rPr>
                <w:rFonts w:ascii="Times New Roman" w:eastAsia="標楷體" w:hAnsi="Times New Roman" w:cs="Times New Roman"/>
                <w:sz w:val="28"/>
                <w:szCs w:val="28"/>
                <w:lang w:eastAsia="zh-CN"/>
              </w:rPr>
              <w:t>大學</w:t>
            </w:r>
            <w:r w:rsidR="00D151E6" w:rsidRPr="00B163CC">
              <w:rPr>
                <w:rFonts w:ascii="Times New Roman" w:eastAsia="標楷體" w:hAnsi="Times New Roman" w:cs="Times New Roman"/>
                <w:sz w:val="28"/>
                <w:szCs w:val="28"/>
                <w:lang w:eastAsia="zh-CN"/>
              </w:rPr>
              <w:t>教育程度以上者</w:t>
            </w:r>
            <w:r w:rsidR="003447E0">
              <w:rPr>
                <w:rFonts w:ascii="Times New Roman" w:eastAsia="標楷體" w:hAnsi="Times New Roman" w:cs="Times New Roman" w:hint="eastAsia"/>
                <w:sz w:val="28"/>
                <w:szCs w:val="28"/>
                <w:lang w:eastAsia="zh-CN"/>
              </w:rPr>
              <w:t>（</w:t>
            </w:r>
            <w:r w:rsidR="00B05639" w:rsidRPr="00B163CC">
              <w:rPr>
                <w:rFonts w:ascii="Times New Roman" w:eastAsia="標楷體" w:hAnsi="Times New Roman" w:cs="Times New Roman"/>
                <w:sz w:val="28"/>
                <w:szCs w:val="28"/>
                <w:lang w:eastAsia="zh-CN"/>
              </w:rPr>
              <w:t>含</w:t>
            </w:r>
            <w:r w:rsidR="003447E0">
              <w:rPr>
                <w:rFonts w:ascii="Times New Roman" w:eastAsia="標楷體" w:hAnsi="Times New Roman" w:cs="Times New Roman" w:hint="eastAsia"/>
                <w:sz w:val="28"/>
                <w:szCs w:val="28"/>
                <w:lang w:eastAsia="zh-CN"/>
              </w:rPr>
              <w:t>）</w:t>
            </w:r>
            <w:r w:rsidR="00D151E6" w:rsidRPr="00B163CC">
              <w:rPr>
                <w:rFonts w:ascii="Times New Roman" w:eastAsia="標楷體" w:hAnsi="Times New Roman" w:cs="Times New Roman"/>
                <w:sz w:val="28"/>
                <w:szCs w:val="28"/>
                <w:lang w:eastAsia="zh-CN"/>
              </w:rPr>
              <w:t>的失業率</w:t>
            </w:r>
            <w:r w:rsidR="00556EB9" w:rsidRPr="00B163CC">
              <w:rPr>
                <w:rFonts w:ascii="Times New Roman" w:eastAsia="標楷體" w:hAnsi="Times New Roman" w:cs="Times New Roman"/>
                <w:sz w:val="28"/>
                <w:szCs w:val="28"/>
                <w:lang w:eastAsia="zh-CN"/>
              </w:rPr>
              <w:t>也從</w:t>
            </w:r>
            <w:r w:rsidR="00556EB9" w:rsidRPr="00B163CC">
              <w:rPr>
                <w:rFonts w:ascii="Times New Roman" w:eastAsia="標楷體" w:hAnsi="Times New Roman" w:cs="Times New Roman"/>
                <w:sz w:val="28"/>
                <w:szCs w:val="28"/>
                <w:lang w:eastAsia="zh-CN"/>
              </w:rPr>
              <w:t>2016</w:t>
            </w:r>
            <w:r w:rsidR="00556EB9" w:rsidRPr="00B163CC">
              <w:rPr>
                <w:rFonts w:ascii="Times New Roman" w:eastAsia="標楷體" w:hAnsi="Times New Roman" w:cs="Times New Roman"/>
                <w:sz w:val="28"/>
                <w:szCs w:val="28"/>
                <w:lang w:eastAsia="zh-CN"/>
              </w:rPr>
              <w:t>年的</w:t>
            </w:r>
            <w:r w:rsidR="00556EB9" w:rsidRPr="00B163CC">
              <w:rPr>
                <w:rFonts w:ascii="Times New Roman" w:eastAsia="標楷體" w:hAnsi="Times New Roman" w:cs="Times New Roman"/>
                <w:sz w:val="28"/>
                <w:szCs w:val="28"/>
                <w:lang w:eastAsia="zh-CN"/>
              </w:rPr>
              <w:t>4.84</w:t>
            </w:r>
            <w:r w:rsidR="001C2E54" w:rsidRPr="00B163CC">
              <w:rPr>
                <w:rFonts w:ascii="Times New Roman" w:eastAsia="標楷體" w:hAnsi="Times New Roman" w:cs="Times New Roman"/>
                <w:sz w:val="28"/>
                <w:szCs w:val="28"/>
                <w:lang w:eastAsia="zh-CN"/>
              </w:rPr>
              <w:t>%</w:t>
            </w:r>
            <w:r w:rsidR="003447E0" w:rsidRPr="00B163CC">
              <w:rPr>
                <w:rFonts w:ascii="Times New Roman" w:eastAsia="標楷體" w:hAnsi="Times New Roman" w:cs="Times New Roman"/>
                <w:sz w:val="28"/>
                <w:szCs w:val="28"/>
                <w:lang w:eastAsia="zh-CN"/>
              </w:rPr>
              <w:t>，</w:t>
            </w:r>
            <w:r w:rsidR="001C2E54" w:rsidRPr="00B163CC">
              <w:rPr>
                <w:rFonts w:ascii="Times New Roman" w:eastAsia="標楷體" w:hAnsi="Times New Roman" w:cs="Times New Roman"/>
                <w:sz w:val="28"/>
                <w:szCs w:val="28"/>
                <w:lang w:eastAsia="zh-CN"/>
              </w:rPr>
              <w:t>下降為去年的</w:t>
            </w:r>
            <w:r w:rsidR="005A0D3A" w:rsidRPr="00B163CC">
              <w:rPr>
                <w:rFonts w:ascii="Times New Roman" w:eastAsia="標楷體" w:hAnsi="Times New Roman" w:cs="Times New Roman"/>
                <w:sz w:val="28"/>
                <w:szCs w:val="28"/>
                <w:lang w:eastAsia="zh-CN"/>
              </w:rPr>
              <w:t>4.65</w:t>
            </w:r>
            <w:r w:rsidR="00D24D77" w:rsidRPr="00B163CC">
              <w:rPr>
                <w:rFonts w:ascii="Times New Roman" w:eastAsia="標楷體" w:hAnsi="Times New Roman" w:cs="Times New Roman"/>
                <w:sz w:val="28"/>
                <w:szCs w:val="28"/>
                <w:lang w:eastAsia="zh-CN"/>
              </w:rPr>
              <w:t>%</w:t>
            </w:r>
            <w:r w:rsidR="005A0D3A" w:rsidRPr="00B163CC">
              <w:rPr>
                <w:rFonts w:ascii="Times New Roman" w:eastAsia="標楷體" w:hAnsi="Times New Roman" w:cs="Times New Roman"/>
                <w:sz w:val="28"/>
                <w:szCs w:val="28"/>
                <w:lang w:eastAsia="zh-CN"/>
              </w:rPr>
              <w:t>及今年上半年的</w:t>
            </w:r>
            <w:r w:rsidR="00D24D77" w:rsidRPr="00B163CC">
              <w:rPr>
                <w:rFonts w:ascii="Times New Roman" w:eastAsia="標楷體" w:hAnsi="Times New Roman" w:cs="Times New Roman"/>
                <w:sz w:val="28"/>
                <w:szCs w:val="28"/>
                <w:lang w:eastAsia="zh-CN"/>
              </w:rPr>
              <w:t>4.54%</w:t>
            </w:r>
            <w:r w:rsidR="00D24D77" w:rsidRPr="00B163CC">
              <w:rPr>
                <w:rFonts w:ascii="Times New Roman" w:eastAsia="標楷體" w:hAnsi="Times New Roman" w:cs="Times New Roman"/>
                <w:sz w:val="28"/>
                <w:szCs w:val="28"/>
                <w:lang w:eastAsia="zh-CN"/>
              </w:rPr>
              <w:t>。</w:t>
            </w:r>
            <w:r w:rsidR="00AC65EE" w:rsidRPr="00B163CC">
              <w:rPr>
                <w:rFonts w:ascii="Times New Roman" w:eastAsia="標楷體" w:hAnsi="Times New Roman" w:cs="Times New Roman"/>
                <w:sz w:val="28"/>
                <w:szCs w:val="28"/>
                <w:lang w:eastAsia="zh-CN"/>
              </w:rPr>
              <w:t>但值得</w:t>
            </w:r>
            <w:r w:rsidR="00EA474C" w:rsidRPr="00B163CC">
              <w:rPr>
                <w:rFonts w:ascii="Times New Roman" w:eastAsia="標楷體" w:hAnsi="Times New Roman" w:cs="Times New Roman"/>
                <w:sz w:val="28"/>
                <w:szCs w:val="28"/>
                <w:lang w:eastAsia="zh-CN"/>
              </w:rPr>
              <w:t>注意的是這個高學歷</w:t>
            </w:r>
            <w:r w:rsidR="00917FE8" w:rsidRPr="00B163CC">
              <w:rPr>
                <w:rFonts w:ascii="Times New Roman" w:eastAsia="標楷體" w:hAnsi="Times New Roman" w:cs="Times New Roman"/>
                <w:sz w:val="28"/>
                <w:szCs w:val="28"/>
                <w:lang w:eastAsia="zh-CN"/>
              </w:rPr>
              <w:t>者的失業率仍然一直高於一般</w:t>
            </w:r>
            <w:r w:rsidR="005C5AB5" w:rsidRPr="00B163CC">
              <w:rPr>
                <w:rFonts w:ascii="Times New Roman" w:eastAsia="標楷體" w:hAnsi="Times New Roman" w:cs="Times New Roman"/>
                <w:sz w:val="28"/>
                <w:szCs w:val="28"/>
                <w:lang w:eastAsia="zh-CN"/>
              </w:rPr>
              <w:t>失業率，尤有進者，</w:t>
            </w:r>
            <w:r w:rsidR="00CA404D" w:rsidRPr="00B163CC">
              <w:rPr>
                <w:rFonts w:ascii="Times New Roman" w:eastAsia="標楷體" w:hAnsi="Times New Roman" w:cs="Times New Roman"/>
                <w:sz w:val="28"/>
                <w:szCs w:val="28"/>
                <w:lang w:eastAsia="zh-CN"/>
              </w:rPr>
              <w:t>這個高學歷族群的</w:t>
            </w:r>
            <w:r w:rsidR="00493ED5" w:rsidRPr="00B163CC">
              <w:rPr>
                <w:rFonts w:ascii="Times New Roman" w:eastAsia="標楷體" w:hAnsi="Times New Roman" w:cs="Times New Roman"/>
                <w:sz w:val="28"/>
                <w:szCs w:val="28"/>
                <w:lang w:eastAsia="zh-CN"/>
              </w:rPr>
              <w:t>失業人數占全體失業人數的</w:t>
            </w:r>
            <w:r w:rsidR="00001FC2" w:rsidRPr="00B163CC">
              <w:rPr>
                <w:rFonts w:ascii="Times New Roman" w:eastAsia="標楷體" w:hAnsi="Times New Roman" w:cs="Times New Roman"/>
                <w:sz w:val="28"/>
                <w:szCs w:val="28"/>
                <w:lang w:eastAsia="zh-CN"/>
              </w:rPr>
              <w:t>百分比不分景氣好</w:t>
            </w:r>
            <w:r w:rsidR="001A75AE" w:rsidRPr="00B163CC">
              <w:rPr>
                <w:rFonts w:ascii="Times New Roman" w:eastAsia="標楷體" w:hAnsi="Times New Roman" w:cs="Times New Roman"/>
                <w:sz w:val="28"/>
                <w:szCs w:val="28"/>
                <w:lang w:eastAsia="zh-CN"/>
              </w:rPr>
              <w:t>或</w:t>
            </w:r>
            <w:r w:rsidR="00001FC2" w:rsidRPr="00B163CC">
              <w:rPr>
                <w:rFonts w:ascii="Times New Roman" w:eastAsia="標楷體" w:hAnsi="Times New Roman" w:cs="Times New Roman"/>
                <w:sz w:val="28"/>
                <w:szCs w:val="28"/>
                <w:lang w:eastAsia="zh-CN"/>
              </w:rPr>
              <w:t>壞</w:t>
            </w:r>
            <w:r w:rsidR="00A151C4" w:rsidRPr="00B163CC">
              <w:rPr>
                <w:rFonts w:ascii="Times New Roman" w:eastAsia="標楷體" w:hAnsi="Times New Roman" w:cs="Times New Roman"/>
                <w:sz w:val="28"/>
                <w:szCs w:val="28"/>
                <w:lang w:eastAsia="zh-CN"/>
              </w:rPr>
              <w:t>卻</w:t>
            </w:r>
            <w:r w:rsidR="001A75AE" w:rsidRPr="00B163CC">
              <w:rPr>
                <w:rFonts w:ascii="Times New Roman" w:eastAsia="標楷體" w:hAnsi="Times New Roman" w:cs="Times New Roman"/>
                <w:sz w:val="28"/>
                <w:szCs w:val="28"/>
                <w:lang w:eastAsia="zh-CN"/>
              </w:rPr>
              <w:t>一直持續提高</w:t>
            </w:r>
            <w:r w:rsidR="005225D3" w:rsidRPr="00B163CC">
              <w:rPr>
                <w:rFonts w:ascii="Times New Roman" w:eastAsia="標楷體" w:hAnsi="Times New Roman" w:cs="Times New Roman"/>
                <w:sz w:val="28"/>
                <w:szCs w:val="28"/>
                <w:lang w:eastAsia="zh-CN"/>
              </w:rPr>
              <w:t>，</w:t>
            </w:r>
            <w:r w:rsidR="00B363E6" w:rsidRPr="00B163CC">
              <w:rPr>
                <w:rFonts w:ascii="Times New Roman" w:eastAsia="標楷體" w:hAnsi="Times New Roman" w:cs="Times New Roman"/>
                <w:sz w:val="28"/>
                <w:szCs w:val="28"/>
                <w:lang w:eastAsia="zh-CN"/>
              </w:rPr>
              <w:t>從</w:t>
            </w:r>
            <w:r w:rsidR="00B363E6" w:rsidRPr="00B163CC">
              <w:rPr>
                <w:rFonts w:ascii="Times New Roman" w:eastAsia="標楷體" w:hAnsi="Times New Roman" w:cs="Times New Roman"/>
                <w:sz w:val="28"/>
                <w:szCs w:val="28"/>
                <w:lang w:eastAsia="zh-CN"/>
              </w:rPr>
              <w:t>2016</w:t>
            </w:r>
            <w:r w:rsidR="00B363E6" w:rsidRPr="00B163CC">
              <w:rPr>
                <w:rFonts w:ascii="Times New Roman" w:eastAsia="標楷體" w:hAnsi="Times New Roman" w:cs="Times New Roman"/>
                <w:sz w:val="28"/>
                <w:szCs w:val="28"/>
                <w:lang w:eastAsia="zh-CN"/>
              </w:rPr>
              <w:t>年的</w:t>
            </w:r>
            <w:r w:rsidR="00B363E6" w:rsidRPr="00B163CC">
              <w:rPr>
                <w:rFonts w:ascii="Times New Roman" w:eastAsia="標楷體" w:hAnsi="Times New Roman" w:cs="Times New Roman"/>
                <w:sz w:val="28"/>
                <w:szCs w:val="28"/>
                <w:lang w:eastAsia="zh-CN"/>
              </w:rPr>
              <w:t>41</w:t>
            </w:r>
            <w:r w:rsidR="00100C85" w:rsidRPr="00B163CC">
              <w:rPr>
                <w:rFonts w:ascii="Times New Roman" w:eastAsia="標楷體" w:hAnsi="Times New Roman" w:cs="Times New Roman"/>
                <w:sz w:val="28"/>
                <w:szCs w:val="28"/>
                <w:lang w:eastAsia="zh-CN"/>
              </w:rPr>
              <w:t>.74%</w:t>
            </w:r>
            <w:r w:rsidR="00100C85" w:rsidRPr="00B163CC">
              <w:rPr>
                <w:rFonts w:ascii="Times New Roman" w:eastAsia="標楷體" w:hAnsi="Times New Roman" w:cs="Times New Roman"/>
                <w:sz w:val="28"/>
                <w:szCs w:val="28"/>
                <w:lang w:eastAsia="zh-CN"/>
              </w:rPr>
              <w:t>，提高為</w:t>
            </w:r>
            <w:r w:rsidR="00100C85" w:rsidRPr="00B163CC">
              <w:rPr>
                <w:rFonts w:ascii="Times New Roman" w:eastAsia="標楷體" w:hAnsi="Times New Roman" w:cs="Times New Roman"/>
                <w:sz w:val="28"/>
                <w:szCs w:val="28"/>
                <w:lang w:eastAsia="zh-CN"/>
              </w:rPr>
              <w:t>2017</w:t>
            </w:r>
            <w:r w:rsidR="00100C85" w:rsidRPr="00B163CC">
              <w:rPr>
                <w:rFonts w:ascii="Times New Roman" w:eastAsia="標楷體" w:hAnsi="Times New Roman" w:cs="Times New Roman"/>
                <w:sz w:val="28"/>
                <w:szCs w:val="28"/>
                <w:lang w:eastAsia="zh-CN"/>
              </w:rPr>
              <w:t>年的</w:t>
            </w:r>
            <w:r w:rsidR="00100C85" w:rsidRPr="00B163CC">
              <w:rPr>
                <w:rFonts w:ascii="Times New Roman" w:eastAsia="標楷體" w:hAnsi="Times New Roman" w:cs="Times New Roman"/>
                <w:sz w:val="28"/>
                <w:szCs w:val="28"/>
                <w:lang w:eastAsia="zh-CN"/>
              </w:rPr>
              <w:t>42.89</w:t>
            </w:r>
            <w:r w:rsidR="00CA27D8" w:rsidRPr="00B163CC">
              <w:rPr>
                <w:rFonts w:ascii="Times New Roman" w:eastAsia="標楷體" w:hAnsi="Times New Roman" w:cs="Times New Roman"/>
                <w:sz w:val="28"/>
                <w:szCs w:val="28"/>
                <w:lang w:eastAsia="zh-CN"/>
              </w:rPr>
              <w:t>%</w:t>
            </w:r>
            <w:r w:rsidR="006E7C2E" w:rsidRPr="00B163CC">
              <w:rPr>
                <w:rFonts w:ascii="Times New Roman" w:eastAsia="標楷體" w:hAnsi="Times New Roman" w:cs="Times New Roman"/>
                <w:sz w:val="28"/>
                <w:szCs w:val="28"/>
                <w:lang w:eastAsia="zh-CN"/>
              </w:rPr>
              <w:t>及今年上半年的</w:t>
            </w:r>
            <w:r w:rsidR="006E7C2E" w:rsidRPr="00B163CC">
              <w:rPr>
                <w:rFonts w:ascii="Times New Roman" w:eastAsia="標楷體" w:hAnsi="Times New Roman" w:cs="Times New Roman"/>
                <w:sz w:val="28"/>
                <w:szCs w:val="28"/>
                <w:lang w:eastAsia="zh-CN"/>
              </w:rPr>
              <w:t>43.65%</w:t>
            </w:r>
            <w:r w:rsidR="006E7C2E" w:rsidRPr="00B163CC">
              <w:rPr>
                <w:rFonts w:ascii="Times New Roman" w:eastAsia="標楷體" w:hAnsi="Times New Roman" w:cs="Times New Roman"/>
                <w:sz w:val="28"/>
                <w:szCs w:val="28"/>
                <w:lang w:eastAsia="zh-CN"/>
              </w:rPr>
              <w:t>。</w:t>
            </w:r>
            <w:r w:rsidR="00CA27D8" w:rsidRPr="00B163CC">
              <w:rPr>
                <w:rFonts w:ascii="Times New Roman" w:eastAsia="標楷體" w:hAnsi="Times New Roman" w:cs="Times New Roman"/>
                <w:sz w:val="28"/>
                <w:szCs w:val="28"/>
                <w:lang w:eastAsia="zh-CN"/>
              </w:rPr>
              <w:t>事實上目前有增無減的</w:t>
            </w:r>
            <w:r w:rsidR="0078605A" w:rsidRPr="00B163CC">
              <w:rPr>
                <w:rFonts w:ascii="Times New Roman" w:eastAsia="標楷體" w:hAnsi="Times New Roman" w:cs="Times New Roman"/>
                <w:sz w:val="28"/>
                <w:szCs w:val="28"/>
                <w:lang w:eastAsia="zh-CN"/>
              </w:rPr>
              <w:t>出國就業也是以高學歷</w:t>
            </w:r>
            <w:r w:rsidR="002A1C51" w:rsidRPr="00B163CC">
              <w:rPr>
                <w:rFonts w:ascii="Times New Roman" w:eastAsia="標楷體" w:hAnsi="Times New Roman" w:cs="Times New Roman"/>
                <w:sz w:val="28"/>
                <w:szCs w:val="28"/>
                <w:lang w:eastAsia="zh-CN"/>
              </w:rPr>
              <w:t>人才為主流。</w:t>
            </w:r>
            <w:r w:rsidR="007018BF" w:rsidRPr="00B163CC">
              <w:rPr>
                <w:rFonts w:ascii="Times New Roman" w:eastAsia="標楷體" w:hAnsi="Times New Roman" w:cs="Times New Roman"/>
                <w:sz w:val="28"/>
                <w:szCs w:val="28"/>
                <w:lang w:eastAsia="zh-CN"/>
              </w:rPr>
              <w:t>這</w:t>
            </w:r>
            <w:r w:rsidR="00DE1D7C" w:rsidRPr="00B163CC">
              <w:rPr>
                <w:rFonts w:ascii="Times New Roman" w:eastAsia="標楷體" w:hAnsi="Times New Roman" w:cs="Times New Roman"/>
                <w:sz w:val="28"/>
                <w:szCs w:val="28"/>
                <w:lang w:eastAsia="zh-CN"/>
              </w:rPr>
              <w:t>會</w:t>
            </w:r>
            <w:r w:rsidR="007018BF" w:rsidRPr="00B163CC">
              <w:rPr>
                <w:rFonts w:ascii="Times New Roman" w:eastAsia="標楷體" w:hAnsi="Times New Roman" w:cs="Times New Roman"/>
                <w:sz w:val="28"/>
                <w:szCs w:val="28"/>
                <w:lang w:eastAsia="zh-CN"/>
              </w:rPr>
              <w:t>對長期人力資</w:t>
            </w:r>
            <w:r w:rsidR="00576199" w:rsidRPr="00B163CC">
              <w:rPr>
                <w:rFonts w:ascii="Times New Roman" w:eastAsia="標楷體" w:hAnsi="Times New Roman" w:cs="Times New Roman"/>
                <w:sz w:val="28"/>
                <w:szCs w:val="28"/>
                <w:lang w:eastAsia="zh-CN"/>
              </w:rPr>
              <w:t>源</w:t>
            </w:r>
            <w:r w:rsidR="007018BF" w:rsidRPr="00B163CC">
              <w:rPr>
                <w:rFonts w:ascii="Times New Roman" w:eastAsia="標楷體" w:hAnsi="Times New Roman" w:cs="Times New Roman"/>
                <w:sz w:val="28"/>
                <w:szCs w:val="28"/>
                <w:lang w:eastAsia="zh-CN"/>
              </w:rPr>
              <w:t>的發展</w:t>
            </w:r>
            <w:r w:rsidR="000421FC" w:rsidRPr="00B163CC">
              <w:rPr>
                <w:rFonts w:ascii="Times New Roman" w:eastAsia="標楷體" w:hAnsi="Times New Roman" w:cs="Times New Roman"/>
                <w:sz w:val="28"/>
                <w:szCs w:val="28"/>
                <w:lang w:eastAsia="zh-CN"/>
              </w:rPr>
              <w:t>與運用</w:t>
            </w:r>
            <w:r w:rsidR="009E03CE" w:rsidRPr="00B163CC">
              <w:rPr>
                <w:rFonts w:ascii="Times New Roman" w:eastAsia="標楷體" w:hAnsi="Times New Roman" w:cs="Times New Roman"/>
                <w:sz w:val="28"/>
                <w:szCs w:val="28"/>
                <w:lang w:eastAsia="zh-CN"/>
              </w:rPr>
              <w:t>形成</w:t>
            </w:r>
            <w:r w:rsidR="000421FC" w:rsidRPr="00B163CC">
              <w:rPr>
                <w:rFonts w:ascii="Times New Roman" w:eastAsia="標楷體" w:hAnsi="Times New Roman" w:cs="Times New Roman"/>
                <w:sz w:val="28"/>
                <w:szCs w:val="28"/>
                <w:lang w:eastAsia="zh-CN"/>
              </w:rPr>
              <w:t>重大</w:t>
            </w:r>
            <w:r w:rsidR="009E03CE" w:rsidRPr="00B163CC">
              <w:rPr>
                <w:rFonts w:ascii="Times New Roman" w:eastAsia="標楷體" w:hAnsi="Times New Roman" w:cs="Times New Roman"/>
                <w:sz w:val="28"/>
                <w:szCs w:val="28"/>
                <w:lang w:eastAsia="zh-CN"/>
              </w:rPr>
              <w:t>的障礙</w:t>
            </w:r>
            <w:r w:rsidR="00784EA4" w:rsidRPr="00B163CC">
              <w:rPr>
                <w:rFonts w:ascii="Times New Roman" w:eastAsia="標楷體" w:hAnsi="Times New Roman" w:cs="Times New Roman"/>
                <w:sz w:val="28"/>
                <w:szCs w:val="28"/>
                <w:lang w:eastAsia="zh-CN"/>
              </w:rPr>
              <w:t>，</w:t>
            </w:r>
            <w:r w:rsidR="00DE1D7C" w:rsidRPr="00B163CC">
              <w:rPr>
                <w:rFonts w:ascii="Times New Roman" w:eastAsia="標楷體" w:hAnsi="Times New Roman" w:cs="Times New Roman"/>
                <w:sz w:val="28"/>
                <w:szCs w:val="28"/>
                <w:lang w:eastAsia="zh-CN"/>
              </w:rPr>
              <w:t>所以在</w:t>
            </w:r>
            <w:r w:rsidR="00784EA4" w:rsidRPr="00B163CC">
              <w:rPr>
                <w:rFonts w:ascii="Times New Roman" w:eastAsia="標楷體" w:hAnsi="Times New Roman" w:cs="Times New Roman"/>
                <w:sz w:val="28"/>
                <w:szCs w:val="28"/>
                <w:lang w:eastAsia="zh-CN"/>
              </w:rPr>
              <w:t>施以景氣對策的同時</w:t>
            </w:r>
            <w:r w:rsidR="00B261E7" w:rsidRPr="00B163CC">
              <w:rPr>
                <w:rFonts w:ascii="Times New Roman" w:eastAsia="標楷體" w:hAnsi="Times New Roman" w:cs="Times New Roman"/>
                <w:sz w:val="28"/>
                <w:szCs w:val="28"/>
                <w:lang w:eastAsia="zh-CN"/>
              </w:rPr>
              <w:t>尤應兼具高級人才就業需求的</w:t>
            </w:r>
            <w:r w:rsidR="00CB0E67" w:rsidRPr="00B163CC">
              <w:rPr>
                <w:rFonts w:ascii="Times New Roman" w:eastAsia="標楷體" w:hAnsi="Times New Roman" w:cs="Times New Roman"/>
                <w:sz w:val="28"/>
                <w:szCs w:val="28"/>
                <w:lang w:eastAsia="zh-CN"/>
              </w:rPr>
              <w:t>創造。</w:t>
            </w:r>
          </w:p>
          <w:p w14:paraId="0476B0BF" w14:textId="06E25B62" w:rsidR="009B737F" w:rsidRPr="00B163CC" w:rsidRDefault="009702DE" w:rsidP="00E300BA">
            <w:pPr>
              <w:adjustRightInd w:val="0"/>
              <w:ind w:firstLineChars="200" w:firstLine="561"/>
              <w:rPr>
                <w:rFonts w:ascii="Times New Roman" w:eastAsia="標楷體" w:hAnsi="Times New Roman" w:cs="Times New Roman"/>
                <w:b/>
                <w:bCs/>
                <w:color w:val="FF0000"/>
                <w:sz w:val="28"/>
                <w:szCs w:val="28"/>
                <w:lang w:eastAsia="zh-CN"/>
              </w:rPr>
            </w:pPr>
            <w:r w:rsidRPr="00B163CC">
              <w:rPr>
                <w:rFonts w:ascii="Times New Roman" w:eastAsia="標楷體" w:hAnsi="Times New Roman" w:cs="Times New Roman"/>
                <w:b/>
                <w:bCs/>
                <w:color w:val="FF0000"/>
                <w:sz w:val="28"/>
                <w:szCs w:val="28"/>
                <w:lang w:eastAsia="zh-CN"/>
              </w:rPr>
              <w:t>三</w:t>
            </w:r>
            <w:r w:rsidR="00B163CC">
              <w:rPr>
                <w:rFonts w:ascii="Times New Roman" w:eastAsia="標楷體" w:hAnsi="Times New Roman" w:cs="Times New Roman" w:hint="eastAsia"/>
                <w:b/>
                <w:bCs/>
                <w:color w:val="FF0000"/>
                <w:sz w:val="28"/>
                <w:szCs w:val="28"/>
                <w:lang w:eastAsia="zh-CN"/>
              </w:rPr>
              <w:t>、</w:t>
            </w:r>
            <w:r w:rsidR="0010754A" w:rsidRPr="00B163CC">
              <w:rPr>
                <w:rFonts w:ascii="Times New Roman" w:eastAsia="標楷體" w:hAnsi="Times New Roman" w:cs="Times New Roman"/>
                <w:b/>
                <w:bCs/>
                <w:color w:val="FF0000"/>
                <w:sz w:val="28"/>
                <w:szCs w:val="28"/>
                <w:lang w:eastAsia="zh-CN"/>
              </w:rPr>
              <w:t>同</w:t>
            </w:r>
            <w:r w:rsidR="00974A6C" w:rsidRPr="00B163CC">
              <w:rPr>
                <w:rFonts w:ascii="Times New Roman" w:eastAsia="標楷體" w:hAnsi="Times New Roman" w:cs="Times New Roman"/>
                <w:b/>
                <w:bCs/>
                <w:color w:val="FF0000"/>
                <w:sz w:val="28"/>
                <w:szCs w:val="28"/>
                <w:lang w:eastAsia="zh-CN"/>
              </w:rPr>
              <w:t>行指標</w:t>
            </w:r>
            <w:r w:rsidR="0087749A" w:rsidRPr="00B163CC">
              <w:rPr>
                <w:rFonts w:ascii="Times New Roman" w:eastAsia="標楷體" w:hAnsi="Times New Roman" w:cs="Times New Roman"/>
                <w:b/>
                <w:bCs/>
                <w:color w:val="FF0000"/>
                <w:sz w:val="28"/>
                <w:szCs w:val="28"/>
                <w:lang w:eastAsia="zh-CN"/>
              </w:rPr>
              <w:t>子指標</w:t>
            </w:r>
            <w:r w:rsidR="00EB764D" w:rsidRPr="00B163CC">
              <w:rPr>
                <w:rFonts w:ascii="Times New Roman" w:eastAsia="標楷體" w:hAnsi="Times New Roman" w:cs="Times New Roman"/>
                <w:b/>
                <w:bCs/>
                <w:color w:val="FF0000"/>
                <w:sz w:val="28"/>
                <w:szCs w:val="28"/>
                <w:lang w:eastAsia="zh-CN"/>
              </w:rPr>
              <w:t>走勢</w:t>
            </w:r>
            <w:r w:rsidR="0068098E" w:rsidRPr="00B163CC">
              <w:rPr>
                <w:rFonts w:ascii="Times New Roman" w:eastAsia="標楷體" w:hAnsi="Times New Roman" w:cs="Times New Roman"/>
                <w:b/>
                <w:bCs/>
                <w:color w:val="FF0000"/>
                <w:sz w:val="28"/>
                <w:szCs w:val="28"/>
                <w:lang w:eastAsia="zh-CN"/>
              </w:rPr>
              <w:t>各</w:t>
            </w:r>
            <w:r w:rsidR="00942D34" w:rsidRPr="00B163CC">
              <w:rPr>
                <w:rFonts w:ascii="Times New Roman" w:eastAsia="標楷體" w:hAnsi="Times New Roman" w:cs="Times New Roman"/>
                <w:b/>
                <w:bCs/>
                <w:color w:val="FF0000"/>
                <w:sz w:val="28"/>
                <w:szCs w:val="28"/>
                <w:lang w:eastAsia="zh-CN"/>
              </w:rPr>
              <w:t>部門</w:t>
            </w:r>
            <w:r w:rsidR="0068098E" w:rsidRPr="00B163CC">
              <w:rPr>
                <w:rFonts w:ascii="Times New Roman" w:eastAsia="標楷體" w:hAnsi="Times New Roman" w:cs="Times New Roman"/>
                <w:b/>
                <w:bCs/>
                <w:color w:val="FF0000"/>
                <w:sz w:val="28"/>
                <w:szCs w:val="28"/>
                <w:lang w:eastAsia="zh-CN"/>
              </w:rPr>
              <w:t>強弱互</w:t>
            </w:r>
            <w:r w:rsidR="00E5448C" w:rsidRPr="00B163CC">
              <w:rPr>
                <w:rFonts w:ascii="Times New Roman" w:eastAsia="標楷體" w:hAnsi="Times New Roman" w:cs="Times New Roman"/>
                <w:b/>
                <w:bCs/>
                <w:color w:val="FF0000"/>
                <w:sz w:val="28"/>
                <w:szCs w:val="28"/>
                <w:lang w:eastAsia="zh-CN"/>
              </w:rPr>
              <w:t>見</w:t>
            </w:r>
            <w:r w:rsidR="009A4819" w:rsidRPr="00B163CC">
              <w:rPr>
                <w:rFonts w:ascii="Times New Roman" w:eastAsia="標楷體" w:hAnsi="Times New Roman" w:cs="Times New Roman"/>
                <w:b/>
                <w:bCs/>
                <w:color w:val="FF0000"/>
                <w:sz w:val="28"/>
                <w:szCs w:val="28"/>
                <w:lang w:eastAsia="zh-CN"/>
              </w:rPr>
              <w:t>，</w:t>
            </w:r>
            <w:r w:rsidR="002A1E67" w:rsidRPr="00B163CC">
              <w:rPr>
                <w:rFonts w:ascii="Times New Roman" w:eastAsia="標楷體" w:hAnsi="Times New Roman" w:cs="Times New Roman"/>
                <w:b/>
                <w:bCs/>
                <w:color w:val="FF0000"/>
                <w:sz w:val="28"/>
                <w:szCs w:val="28"/>
                <w:lang w:eastAsia="zh-CN"/>
              </w:rPr>
              <w:t>影響綜合指數</w:t>
            </w:r>
            <w:r w:rsidR="003E737C">
              <w:rPr>
                <w:rFonts w:ascii="Times New Roman" w:eastAsia="標楷體" w:hAnsi="Times New Roman" w:cs="Times New Roman" w:hint="eastAsia"/>
                <w:b/>
                <w:bCs/>
                <w:color w:val="FF0000"/>
                <w:sz w:val="28"/>
                <w:szCs w:val="28"/>
                <w:lang w:eastAsia="zh-CN"/>
              </w:rPr>
              <w:t>復甦</w:t>
            </w:r>
            <w:r w:rsidR="00E37CEE" w:rsidRPr="00B163CC">
              <w:rPr>
                <w:rFonts w:ascii="Times New Roman" w:eastAsia="標楷體" w:hAnsi="Times New Roman" w:cs="Times New Roman"/>
                <w:b/>
                <w:bCs/>
                <w:color w:val="FF0000"/>
                <w:sz w:val="28"/>
                <w:szCs w:val="28"/>
                <w:lang w:eastAsia="zh-CN"/>
              </w:rPr>
              <w:t>力</w:t>
            </w:r>
            <w:r w:rsidR="00D5135E" w:rsidRPr="00B163CC">
              <w:rPr>
                <w:rFonts w:ascii="Times New Roman" w:eastAsia="標楷體" w:hAnsi="Times New Roman" w:cs="Times New Roman"/>
                <w:b/>
                <w:bCs/>
                <w:color w:val="FF0000"/>
                <w:sz w:val="28"/>
                <w:szCs w:val="28"/>
                <w:lang w:eastAsia="zh-CN"/>
              </w:rPr>
              <w:t>道</w:t>
            </w:r>
            <w:r w:rsidR="00E5448C" w:rsidRPr="00B163CC">
              <w:rPr>
                <w:rFonts w:ascii="Times New Roman" w:eastAsia="標楷體" w:hAnsi="Times New Roman" w:cs="Times New Roman"/>
                <w:b/>
                <w:bCs/>
                <w:color w:val="FF0000"/>
                <w:sz w:val="28"/>
                <w:szCs w:val="28"/>
                <w:lang w:eastAsia="zh-CN"/>
              </w:rPr>
              <w:t>。</w:t>
            </w:r>
          </w:p>
          <w:p w14:paraId="2FD8B4C1" w14:textId="2134FCA8" w:rsidR="00FB3422" w:rsidRPr="00B163CC" w:rsidRDefault="006E309B" w:rsidP="000F79D3">
            <w:pPr>
              <w:adjustRightInd w:val="0"/>
              <w:ind w:firstLineChars="200" w:firstLine="560"/>
              <w:rPr>
                <w:rFonts w:ascii="Times New Roman" w:eastAsia="標楷體" w:hAnsi="Times New Roman" w:cs="Times New Roman"/>
                <w:bCs/>
                <w:color w:val="000000" w:themeColor="text1"/>
                <w:sz w:val="28"/>
                <w:szCs w:val="28"/>
                <w:lang w:eastAsia="zh-CN"/>
              </w:rPr>
            </w:pPr>
            <w:r w:rsidRPr="00B163CC">
              <w:rPr>
                <w:rFonts w:ascii="Times New Roman" w:eastAsia="標楷體" w:hAnsi="Times New Roman" w:cs="Times New Roman"/>
                <w:bCs/>
                <w:color w:val="000000" w:themeColor="text1"/>
                <w:sz w:val="28"/>
                <w:szCs w:val="28"/>
                <w:lang w:eastAsia="zh-CN"/>
              </w:rPr>
              <w:lastRenderedPageBreak/>
              <w:t>台灣服務業承續</w:t>
            </w:r>
            <w:r w:rsidR="005D4F63" w:rsidRPr="00B163CC">
              <w:rPr>
                <w:rFonts w:ascii="Times New Roman" w:eastAsia="標楷體" w:hAnsi="Times New Roman" w:cs="Times New Roman"/>
                <w:bCs/>
                <w:color w:val="000000" w:themeColor="text1"/>
                <w:sz w:val="28"/>
                <w:szCs w:val="28"/>
                <w:lang w:eastAsia="zh-CN"/>
              </w:rPr>
              <w:t>20</w:t>
            </w:r>
            <w:r w:rsidR="001661D1" w:rsidRPr="00B163CC">
              <w:rPr>
                <w:rFonts w:ascii="Times New Roman" w:eastAsia="標楷體" w:hAnsi="Times New Roman" w:cs="Times New Roman"/>
                <w:bCs/>
                <w:color w:val="000000" w:themeColor="text1"/>
                <w:sz w:val="28"/>
                <w:szCs w:val="28"/>
                <w:lang w:eastAsia="zh-CN"/>
              </w:rPr>
              <w:t>15</w:t>
            </w:r>
            <w:r w:rsidR="001661D1" w:rsidRPr="00B163CC">
              <w:rPr>
                <w:rFonts w:ascii="Times New Roman" w:eastAsia="標楷體" w:hAnsi="Times New Roman" w:cs="Times New Roman"/>
                <w:bCs/>
                <w:color w:val="000000" w:themeColor="text1"/>
                <w:sz w:val="28"/>
                <w:szCs w:val="28"/>
                <w:lang w:eastAsia="zh-CN"/>
              </w:rPr>
              <w:t>年</w:t>
            </w:r>
            <w:r w:rsidR="001661D1" w:rsidRPr="00B163CC">
              <w:rPr>
                <w:rFonts w:ascii="Times New Roman" w:eastAsia="標楷體" w:hAnsi="Times New Roman" w:cs="Times New Roman"/>
                <w:bCs/>
                <w:color w:val="000000" w:themeColor="text1"/>
                <w:sz w:val="28"/>
                <w:szCs w:val="28"/>
                <w:lang w:eastAsia="zh-CN"/>
              </w:rPr>
              <w:t>3</w:t>
            </w:r>
            <w:r w:rsidR="001661D1" w:rsidRPr="00B163CC">
              <w:rPr>
                <w:rFonts w:ascii="Times New Roman" w:eastAsia="標楷體" w:hAnsi="Times New Roman" w:cs="Times New Roman"/>
                <w:bCs/>
                <w:color w:val="000000" w:themeColor="text1"/>
                <w:sz w:val="28"/>
                <w:szCs w:val="28"/>
                <w:lang w:eastAsia="zh-CN"/>
              </w:rPr>
              <w:t>月開始的衰退</w:t>
            </w:r>
            <w:r w:rsidR="00C25EE9" w:rsidRPr="00B163CC">
              <w:rPr>
                <w:rFonts w:ascii="Times New Roman" w:eastAsia="標楷體" w:hAnsi="Times New Roman" w:cs="Times New Roman"/>
                <w:bCs/>
                <w:color w:val="000000" w:themeColor="text1"/>
                <w:sz w:val="28"/>
                <w:szCs w:val="28"/>
                <w:lang w:eastAsia="zh-CN"/>
              </w:rPr>
              <w:t>而</w:t>
            </w:r>
            <w:r w:rsidR="008851E3" w:rsidRPr="00B163CC">
              <w:rPr>
                <w:rFonts w:ascii="Times New Roman" w:eastAsia="標楷體" w:hAnsi="Times New Roman" w:cs="Times New Roman"/>
                <w:bCs/>
                <w:color w:val="000000" w:themeColor="text1"/>
                <w:sz w:val="28"/>
                <w:szCs w:val="28"/>
                <w:lang w:eastAsia="zh-CN"/>
              </w:rPr>
              <w:t>於</w:t>
            </w:r>
            <w:r w:rsidR="008851E3" w:rsidRPr="00B163CC">
              <w:rPr>
                <w:rFonts w:ascii="Times New Roman" w:eastAsia="標楷體" w:hAnsi="Times New Roman" w:cs="Times New Roman"/>
                <w:bCs/>
                <w:color w:val="000000" w:themeColor="text1"/>
                <w:sz w:val="28"/>
                <w:szCs w:val="28"/>
                <w:lang w:eastAsia="zh-CN"/>
              </w:rPr>
              <w:t>2017</w:t>
            </w:r>
            <w:r w:rsidR="008851E3" w:rsidRPr="00B163CC">
              <w:rPr>
                <w:rFonts w:ascii="Times New Roman" w:eastAsia="標楷體" w:hAnsi="Times New Roman" w:cs="Times New Roman"/>
                <w:bCs/>
                <w:color w:val="000000" w:themeColor="text1"/>
                <w:sz w:val="28"/>
                <w:szCs w:val="28"/>
                <w:lang w:eastAsia="zh-CN"/>
              </w:rPr>
              <w:t>年</w:t>
            </w:r>
            <w:r w:rsidR="008851E3" w:rsidRPr="00B163CC">
              <w:rPr>
                <w:rFonts w:ascii="Times New Roman" w:eastAsia="標楷體" w:hAnsi="Times New Roman" w:cs="Times New Roman"/>
                <w:bCs/>
                <w:color w:val="000000" w:themeColor="text1"/>
                <w:sz w:val="28"/>
                <w:szCs w:val="28"/>
                <w:lang w:eastAsia="zh-CN"/>
              </w:rPr>
              <w:t>5</w:t>
            </w:r>
            <w:r w:rsidR="008851E3" w:rsidRPr="00B163CC">
              <w:rPr>
                <w:rFonts w:ascii="Times New Roman" w:eastAsia="標楷體" w:hAnsi="Times New Roman" w:cs="Times New Roman"/>
                <w:bCs/>
                <w:color w:val="000000" w:themeColor="text1"/>
                <w:sz w:val="28"/>
                <w:szCs w:val="28"/>
                <w:lang w:eastAsia="zh-CN"/>
              </w:rPr>
              <w:t>月</w:t>
            </w:r>
            <w:r w:rsidR="003E737C">
              <w:rPr>
                <w:rFonts w:ascii="Times New Roman" w:eastAsia="標楷體" w:hAnsi="Times New Roman" w:cs="Times New Roman" w:hint="eastAsia"/>
                <w:bCs/>
                <w:color w:val="000000" w:themeColor="text1"/>
                <w:sz w:val="28"/>
                <w:szCs w:val="28"/>
                <w:lang w:eastAsia="zh-CN"/>
              </w:rPr>
              <w:t>復甦</w:t>
            </w:r>
            <w:r w:rsidR="00992877" w:rsidRPr="00B163CC">
              <w:rPr>
                <w:rFonts w:ascii="Times New Roman" w:eastAsia="標楷體" w:hAnsi="Times New Roman" w:cs="Times New Roman"/>
                <w:bCs/>
                <w:color w:val="000000" w:themeColor="text1"/>
                <w:sz w:val="28"/>
                <w:szCs w:val="28"/>
                <w:lang w:eastAsia="zh-CN"/>
              </w:rPr>
              <w:t>。</w:t>
            </w:r>
            <w:r w:rsidR="002C12E1" w:rsidRPr="00B163CC">
              <w:rPr>
                <w:rFonts w:ascii="Times New Roman" w:eastAsia="標楷體" w:hAnsi="Times New Roman" w:cs="Times New Roman"/>
                <w:bCs/>
                <w:color w:val="000000" w:themeColor="text1"/>
                <w:sz w:val="28"/>
                <w:szCs w:val="28"/>
                <w:lang w:eastAsia="zh-CN"/>
              </w:rPr>
              <w:t>本景氣指標系統的同行指標（</w:t>
            </w:r>
            <w:r w:rsidR="0004264B" w:rsidRPr="00B163CC">
              <w:rPr>
                <w:rFonts w:ascii="Times New Roman" w:eastAsia="標楷體" w:hAnsi="Times New Roman" w:cs="Times New Roman"/>
                <w:bCs/>
                <w:color w:val="000000" w:themeColor="text1"/>
                <w:sz w:val="28"/>
                <w:szCs w:val="28"/>
                <w:lang w:eastAsia="zh-CN"/>
              </w:rPr>
              <w:t>可同步反應服務業實質</w:t>
            </w:r>
            <w:r w:rsidR="000C748B" w:rsidRPr="00B163CC">
              <w:rPr>
                <w:rFonts w:ascii="Times New Roman" w:eastAsia="標楷體" w:hAnsi="Times New Roman" w:cs="Times New Roman"/>
                <w:bCs/>
                <w:color w:val="000000" w:themeColor="text1"/>
                <w:sz w:val="28"/>
                <w:szCs w:val="28"/>
                <w:lang w:eastAsia="zh-CN"/>
              </w:rPr>
              <w:t>GDP</w:t>
            </w:r>
            <w:r w:rsidR="000C748B" w:rsidRPr="00B163CC">
              <w:rPr>
                <w:rFonts w:ascii="Times New Roman" w:eastAsia="標楷體" w:hAnsi="Times New Roman" w:cs="Times New Roman"/>
                <w:bCs/>
                <w:color w:val="000000" w:themeColor="text1"/>
                <w:sz w:val="28"/>
                <w:szCs w:val="28"/>
                <w:lang w:eastAsia="zh-CN"/>
              </w:rPr>
              <w:t>變動）</w:t>
            </w:r>
            <w:r w:rsidR="00EA114D" w:rsidRPr="00B163CC">
              <w:rPr>
                <w:rFonts w:ascii="Times New Roman" w:eastAsia="標楷體" w:hAnsi="Times New Roman" w:cs="Times New Roman"/>
                <w:bCs/>
                <w:color w:val="000000" w:themeColor="text1"/>
                <w:sz w:val="28"/>
                <w:szCs w:val="28"/>
                <w:lang w:eastAsia="zh-CN"/>
              </w:rPr>
              <w:t>中的子指標，卻</w:t>
            </w:r>
            <w:r w:rsidR="00F70E2F" w:rsidRPr="00B163CC">
              <w:rPr>
                <w:rFonts w:ascii="Times New Roman" w:eastAsia="標楷體" w:hAnsi="Times New Roman" w:cs="Times New Roman"/>
                <w:bCs/>
                <w:color w:val="000000" w:themeColor="text1"/>
                <w:sz w:val="28"/>
                <w:szCs w:val="28"/>
                <w:lang w:eastAsia="zh-CN"/>
              </w:rPr>
              <w:t>見</w:t>
            </w:r>
            <w:r w:rsidR="00EA114D" w:rsidRPr="00B163CC">
              <w:rPr>
                <w:rFonts w:ascii="Times New Roman" w:eastAsia="標楷體" w:hAnsi="Times New Roman" w:cs="Times New Roman"/>
                <w:bCs/>
                <w:color w:val="000000" w:themeColor="text1"/>
                <w:sz w:val="28"/>
                <w:szCs w:val="28"/>
                <w:lang w:eastAsia="zh-CN"/>
              </w:rPr>
              <w:t>部門不</w:t>
            </w:r>
            <w:r w:rsidR="0054522A" w:rsidRPr="00B163CC">
              <w:rPr>
                <w:rFonts w:ascii="Times New Roman" w:eastAsia="標楷體" w:hAnsi="Times New Roman" w:cs="Times New Roman"/>
                <w:bCs/>
                <w:color w:val="000000" w:themeColor="text1"/>
                <w:sz w:val="28"/>
                <w:szCs w:val="28"/>
                <w:lang w:eastAsia="zh-CN"/>
              </w:rPr>
              <w:t>同而有不同的</w:t>
            </w:r>
            <w:r w:rsidR="006D7E67" w:rsidRPr="00B163CC">
              <w:rPr>
                <w:rFonts w:ascii="Times New Roman" w:eastAsia="標楷體" w:hAnsi="Times New Roman" w:cs="Times New Roman"/>
                <w:bCs/>
                <w:color w:val="000000" w:themeColor="text1"/>
                <w:sz w:val="28"/>
                <w:szCs w:val="28"/>
                <w:lang w:eastAsia="zh-CN"/>
              </w:rPr>
              <w:t>走勢</w:t>
            </w:r>
            <w:r w:rsidR="00847B48" w:rsidRPr="00B163CC">
              <w:rPr>
                <w:rFonts w:ascii="Times New Roman" w:eastAsia="標楷體" w:hAnsi="Times New Roman" w:cs="Times New Roman"/>
                <w:bCs/>
                <w:color w:val="000000" w:themeColor="text1"/>
                <w:sz w:val="28"/>
                <w:szCs w:val="28"/>
                <w:lang w:eastAsia="zh-CN"/>
              </w:rPr>
              <w:t>。</w:t>
            </w:r>
          </w:p>
          <w:p w14:paraId="4D6BA3F9" w14:textId="002396A8" w:rsidR="00DA58AF" w:rsidRPr="00B163CC" w:rsidRDefault="00DA58AF" w:rsidP="00284B00">
            <w:pPr>
              <w:pStyle w:val="a3"/>
              <w:numPr>
                <w:ilvl w:val="0"/>
                <w:numId w:val="10"/>
              </w:numPr>
              <w:adjustRightInd w:val="0"/>
              <w:ind w:leftChars="0"/>
              <w:rPr>
                <w:rFonts w:ascii="Times New Roman" w:eastAsia="標楷體" w:hAnsi="Times New Roman"/>
                <w:bCs/>
                <w:color w:val="000000" w:themeColor="text1"/>
                <w:sz w:val="28"/>
                <w:szCs w:val="28"/>
                <w:lang w:eastAsia="zh-CN"/>
              </w:rPr>
            </w:pPr>
            <w:r w:rsidRPr="00B163CC">
              <w:rPr>
                <w:rFonts w:ascii="Times New Roman" w:eastAsia="標楷體" w:hAnsi="Times New Roman"/>
                <w:bCs/>
                <w:color w:val="000000" w:themeColor="text1"/>
                <w:sz w:val="28"/>
                <w:szCs w:val="28"/>
                <w:lang w:eastAsia="zh-CN"/>
              </w:rPr>
              <w:t>批發與零售</w:t>
            </w:r>
            <w:r w:rsidR="004109DC" w:rsidRPr="00B163CC">
              <w:rPr>
                <w:rFonts w:ascii="Times New Roman" w:eastAsia="標楷體" w:hAnsi="Times New Roman"/>
                <w:bCs/>
                <w:color w:val="000000" w:themeColor="text1"/>
                <w:sz w:val="28"/>
                <w:szCs w:val="28"/>
                <w:lang w:eastAsia="zh-CN"/>
              </w:rPr>
              <w:t>業</w:t>
            </w:r>
            <w:r w:rsidR="006235DF" w:rsidRPr="00B163CC">
              <w:rPr>
                <w:rFonts w:ascii="Times New Roman" w:eastAsia="標楷體" w:hAnsi="Times New Roman"/>
                <w:bCs/>
                <w:color w:val="000000" w:themeColor="text1"/>
                <w:sz w:val="28"/>
                <w:szCs w:val="28"/>
                <w:lang w:eastAsia="zh-CN"/>
              </w:rPr>
              <w:t>實質</w:t>
            </w:r>
            <w:r w:rsidR="006235DF" w:rsidRPr="00B163CC">
              <w:rPr>
                <w:rFonts w:ascii="Times New Roman" w:eastAsia="標楷體" w:hAnsi="Times New Roman"/>
                <w:bCs/>
                <w:color w:val="000000" w:themeColor="text1"/>
                <w:sz w:val="28"/>
                <w:szCs w:val="28"/>
                <w:lang w:eastAsia="zh-CN"/>
              </w:rPr>
              <w:t>GDP</w:t>
            </w:r>
            <w:r w:rsidR="006235DF" w:rsidRPr="00B163CC">
              <w:rPr>
                <w:rFonts w:ascii="Times New Roman" w:eastAsia="標楷體" w:hAnsi="Times New Roman"/>
                <w:bCs/>
                <w:color w:val="000000" w:themeColor="text1"/>
                <w:sz w:val="28"/>
                <w:szCs w:val="28"/>
                <w:lang w:eastAsia="zh-CN"/>
              </w:rPr>
              <w:t>循環指數</w:t>
            </w:r>
            <w:r w:rsidR="008C7A8D" w:rsidRPr="00B163CC">
              <w:rPr>
                <w:rFonts w:ascii="Times New Roman" w:eastAsia="標楷體" w:hAnsi="Times New Roman"/>
                <w:bCs/>
                <w:color w:val="000000" w:themeColor="text1"/>
                <w:sz w:val="28"/>
                <w:szCs w:val="28"/>
                <w:lang w:eastAsia="zh-CN"/>
              </w:rPr>
              <w:t>提早在</w:t>
            </w:r>
            <w:r w:rsidR="008C7A8D" w:rsidRPr="00B163CC">
              <w:rPr>
                <w:rFonts w:ascii="Times New Roman" w:eastAsia="標楷體" w:hAnsi="Times New Roman"/>
                <w:bCs/>
                <w:color w:val="000000" w:themeColor="text1"/>
                <w:sz w:val="28"/>
                <w:szCs w:val="28"/>
                <w:lang w:eastAsia="zh-CN"/>
              </w:rPr>
              <w:t>2016</w:t>
            </w:r>
            <w:r w:rsidR="008C7A8D" w:rsidRPr="00B163CC">
              <w:rPr>
                <w:rFonts w:ascii="Times New Roman" w:eastAsia="標楷體" w:hAnsi="Times New Roman"/>
                <w:bCs/>
                <w:color w:val="000000" w:themeColor="text1"/>
                <w:sz w:val="28"/>
                <w:szCs w:val="28"/>
                <w:lang w:eastAsia="zh-CN"/>
              </w:rPr>
              <w:t>年</w:t>
            </w:r>
            <w:r w:rsidR="008C7A8D" w:rsidRPr="00B163CC">
              <w:rPr>
                <w:rFonts w:ascii="Times New Roman" w:eastAsia="標楷體" w:hAnsi="Times New Roman"/>
                <w:bCs/>
                <w:color w:val="000000" w:themeColor="text1"/>
                <w:sz w:val="28"/>
                <w:szCs w:val="28"/>
                <w:lang w:eastAsia="zh-CN"/>
              </w:rPr>
              <w:t>10</w:t>
            </w:r>
            <w:r w:rsidR="008C7A8D" w:rsidRPr="00B163CC">
              <w:rPr>
                <w:rFonts w:ascii="Times New Roman" w:eastAsia="標楷體" w:hAnsi="Times New Roman"/>
                <w:bCs/>
                <w:color w:val="000000" w:themeColor="text1"/>
                <w:sz w:val="28"/>
                <w:szCs w:val="28"/>
                <w:lang w:eastAsia="zh-CN"/>
              </w:rPr>
              <w:t>月出現</w:t>
            </w:r>
            <w:r w:rsidR="007430C4" w:rsidRPr="00B163CC">
              <w:rPr>
                <w:rFonts w:ascii="Times New Roman" w:eastAsia="標楷體" w:hAnsi="Times New Roman"/>
                <w:bCs/>
                <w:color w:val="000000" w:themeColor="text1"/>
                <w:sz w:val="28"/>
                <w:szCs w:val="28"/>
                <w:lang w:eastAsia="zh-CN"/>
              </w:rPr>
              <w:t>底谷（</w:t>
            </w:r>
            <w:r w:rsidR="007430C4" w:rsidRPr="00B163CC">
              <w:rPr>
                <w:rFonts w:ascii="Times New Roman" w:eastAsia="標楷體" w:hAnsi="Times New Roman"/>
                <w:bCs/>
                <w:color w:val="000000" w:themeColor="text1"/>
                <w:sz w:val="28"/>
                <w:szCs w:val="28"/>
                <w:lang w:eastAsia="zh-CN"/>
              </w:rPr>
              <w:t>trough</w:t>
            </w:r>
            <w:r w:rsidR="007430C4" w:rsidRPr="00B163CC">
              <w:rPr>
                <w:rFonts w:ascii="Times New Roman" w:eastAsia="標楷體" w:hAnsi="Times New Roman"/>
                <w:bCs/>
                <w:color w:val="000000" w:themeColor="text1"/>
                <w:sz w:val="28"/>
                <w:szCs w:val="28"/>
                <w:lang w:eastAsia="zh-CN"/>
              </w:rPr>
              <w:t>）</w:t>
            </w:r>
            <w:r w:rsidR="00B71EA7" w:rsidRPr="00B163CC">
              <w:rPr>
                <w:rFonts w:ascii="Times New Roman" w:eastAsia="標楷體" w:hAnsi="Times New Roman"/>
                <w:sz w:val="28"/>
                <w:szCs w:val="28"/>
                <w:lang w:eastAsia="zh-CN"/>
              </w:rPr>
              <w:t>，</w:t>
            </w:r>
            <w:r w:rsidR="007430C4" w:rsidRPr="00B163CC">
              <w:rPr>
                <w:rFonts w:ascii="Times New Roman" w:eastAsia="標楷體" w:hAnsi="Times New Roman"/>
                <w:bCs/>
                <w:color w:val="000000" w:themeColor="text1"/>
                <w:sz w:val="28"/>
                <w:szCs w:val="28"/>
                <w:lang w:eastAsia="zh-CN"/>
              </w:rPr>
              <w:t>迄</w:t>
            </w:r>
            <w:r w:rsidR="00FB37E0" w:rsidRPr="00B163CC">
              <w:rPr>
                <w:rFonts w:ascii="Times New Roman" w:eastAsia="標楷體" w:hAnsi="Times New Roman"/>
                <w:bCs/>
                <w:color w:val="000000" w:themeColor="text1"/>
                <w:sz w:val="28"/>
                <w:szCs w:val="28"/>
                <w:lang w:eastAsia="zh-CN"/>
              </w:rPr>
              <w:t>今年第一季</w:t>
            </w:r>
            <w:r w:rsidR="007202E1" w:rsidRPr="00B163CC">
              <w:rPr>
                <w:rFonts w:ascii="Times New Roman" w:eastAsia="標楷體" w:hAnsi="Times New Roman"/>
                <w:bCs/>
                <w:color w:val="000000" w:themeColor="text1"/>
                <w:sz w:val="28"/>
                <w:szCs w:val="28"/>
                <w:lang w:eastAsia="zh-CN"/>
              </w:rPr>
              <w:t>(</w:t>
            </w:r>
            <w:r w:rsidR="00DE3E84" w:rsidRPr="00B163CC">
              <w:rPr>
                <w:rFonts w:ascii="Times New Roman" w:eastAsia="標楷體" w:hAnsi="Times New Roman"/>
                <w:bCs/>
                <w:color w:val="000000" w:themeColor="text1"/>
                <w:sz w:val="28"/>
                <w:szCs w:val="28"/>
                <w:lang w:eastAsia="zh-CN"/>
              </w:rPr>
              <w:t>實際值</w:t>
            </w:r>
            <w:r w:rsidR="00AA3BCC" w:rsidRPr="00B163CC">
              <w:rPr>
                <w:rFonts w:ascii="Times New Roman" w:eastAsia="標楷體" w:hAnsi="Times New Roman"/>
                <w:bCs/>
                <w:color w:val="000000" w:themeColor="text1"/>
                <w:sz w:val="28"/>
                <w:szCs w:val="28"/>
                <w:lang w:eastAsia="zh-CN"/>
              </w:rPr>
              <w:t>)</w:t>
            </w:r>
            <w:r w:rsidR="00DE3E84" w:rsidRPr="00B163CC">
              <w:rPr>
                <w:rFonts w:ascii="Times New Roman" w:eastAsia="標楷體" w:hAnsi="Times New Roman"/>
                <w:bCs/>
                <w:color w:val="000000" w:themeColor="text1"/>
                <w:sz w:val="28"/>
                <w:szCs w:val="28"/>
                <w:lang w:eastAsia="zh-CN"/>
              </w:rPr>
              <w:t>與第二季</w:t>
            </w:r>
            <w:r w:rsidR="00AA3BCC" w:rsidRPr="00B163CC">
              <w:rPr>
                <w:rFonts w:ascii="Times New Roman" w:eastAsia="標楷體" w:hAnsi="Times New Roman"/>
                <w:bCs/>
                <w:color w:val="000000" w:themeColor="text1"/>
                <w:sz w:val="28"/>
                <w:szCs w:val="28"/>
                <w:lang w:eastAsia="zh-CN"/>
              </w:rPr>
              <w:t>（</w:t>
            </w:r>
            <w:r w:rsidR="00DE3E84" w:rsidRPr="00B163CC">
              <w:rPr>
                <w:rFonts w:ascii="Times New Roman" w:eastAsia="標楷體" w:hAnsi="Times New Roman"/>
                <w:bCs/>
                <w:color w:val="000000" w:themeColor="text1"/>
                <w:sz w:val="28"/>
                <w:szCs w:val="28"/>
                <w:lang w:eastAsia="zh-CN"/>
              </w:rPr>
              <w:t>推估值</w:t>
            </w:r>
            <w:r w:rsidR="00AA3BCC" w:rsidRPr="00B163CC">
              <w:rPr>
                <w:rFonts w:ascii="Times New Roman" w:eastAsia="標楷體" w:hAnsi="Times New Roman"/>
                <w:bCs/>
                <w:color w:val="000000" w:themeColor="text1"/>
                <w:sz w:val="28"/>
                <w:szCs w:val="28"/>
                <w:lang w:eastAsia="zh-CN"/>
              </w:rPr>
              <w:t>）</w:t>
            </w:r>
            <w:r w:rsidR="001133C5" w:rsidRPr="00B163CC">
              <w:rPr>
                <w:rFonts w:ascii="Times New Roman" w:eastAsia="標楷體" w:hAnsi="Times New Roman"/>
                <w:bCs/>
                <w:color w:val="000000" w:themeColor="text1"/>
                <w:sz w:val="28"/>
                <w:szCs w:val="28"/>
                <w:lang w:eastAsia="zh-CN"/>
              </w:rPr>
              <w:t>一直</w:t>
            </w:r>
            <w:r w:rsidR="00C84697" w:rsidRPr="00B163CC">
              <w:rPr>
                <w:rFonts w:ascii="Times New Roman" w:eastAsia="標楷體" w:hAnsi="Times New Roman"/>
                <w:bCs/>
                <w:color w:val="000000" w:themeColor="text1"/>
                <w:sz w:val="28"/>
                <w:szCs w:val="28"/>
                <w:lang w:eastAsia="zh-CN"/>
              </w:rPr>
              <w:t>持續</w:t>
            </w:r>
            <w:r w:rsidR="00D41840" w:rsidRPr="00B163CC">
              <w:rPr>
                <w:rFonts w:ascii="Times New Roman" w:eastAsia="標楷體" w:hAnsi="Times New Roman"/>
                <w:bCs/>
                <w:color w:val="000000" w:themeColor="text1"/>
                <w:sz w:val="28"/>
                <w:szCs w:val="28"/>
                <w:lang w:eastAsia="zh-CN"/>
              </w:rPr>
              <w:t>上升中</w:t>
            </w:r>
            <w:r w:rsidR="005E3110" w:rsidRPr="00B163CC">
              <w:rPr>
                <w:rFonts w:ascii="Times New Roman" w:eastAsia="標楷體" w:hAnsi="Times New Roman"/>
                <w:bCs/>
                <w:color w:val="000000" w:themeColor="text1"/>
                <w:sz w:val="28"/>
                <w:szCs w:val="28"/>
                <w:lang w:eastAsia="zh-CN"/>
              </w:rPr>
              <w:t>，但</w:t>
            </w:r>
            <w:r w:rsidR="00C84697" w:rsidRPr="00B163CC">
              <w:rPr>
                <w:rFonts w:ascii="Times New Roman" w:eastAsia="標楷體" w:hAnsi="Times New Roman"/>
                <w:bCs/>
                <w:color w:val="000000" w:themeColor="text1"/>
                <w:sz w:val="28"/>
                <w:szCs w:val="28"/>
                <w:lang w:eastAsia="zh-CN"/>
              </w:rPr>
              <w:t>循環指數</w:t>
            </w:r>
            <w:r w:rsidR="001133C5" w:rsidRPr="00B163CC">
              <w:rPr>
                <w:rFonts w:ascii="Times New Roman" w:eastAsia="標楷體" w:hAnsi="Times New Roman"/>
                <w:bCs/>
                <w:color w:val="000000" w:themeColor="text1"/>
                <w:sz w:val="28"/>
                <w:szCs w:val="28"/>
                <w:lang w:eastAsia="zh-CN"/>
              </w:rPr>
              <w:t>迄</w:t>
            </w:r>
            <w:r w:rsidR="00465E04" w:rsidRPr="00B163CC">
              <w:rPr>
                <w:rFonts w:ascii="Times New Roman" w:eastAsia="標楷體" w:hAnsi="Times New Roman"/>
                <w:bCs/>
                <w:color w:val="000000" w:themeColor="text1"/>
                <w:sz w:val="28"/>
                <w:szCs w:val="28"/>
                <w:lang w:eastAsia="zh-CN"/>
              </w:rPr>
              <w:t>未超越其本身的長期趨勢值</w:t>
            </w:r>
            <w:r w:rsidR="001B410A" w:rsidRPr="00B163CC">
              <w:rPr>
                <w:rFonts w:ascii="Times New Roman" w:eastAsia="標楷體" w:hAnsi="Times New Roman"/>
                <w:bCs/>
                <w:color w:val="000000" w:themeColor="text1"/>
                <w:sz w:val="28"/>
                <w:szCs w:val="28"/>
                <w:lang w:eastAsia="zh-CN"/>
              </w:rPr>
              <w:t>，</w:t>
            </w:r>
            <w:r w:rsidR="00A5205E" w:rsidRPr="00B163CC">
              <w:rPr>
                <w:rFonts w:ascii="Times New Roman" w:eastAsia="標楷體" w:hAnsi="Times New Roman"/>
                <w:bCs/>
                <w:color w:val="000000" w:themeColor="text1"/>
                <w:sz w:val="28"/>
                <w:szCs w:val="28"/>
                <w:lang w:eastAsia="zh-CN"/>
              </w:rPr>
              <w:t>其</w:t>
            </w:r>
            <w:r w:rsidR="003E737C">
              <w:rPr>
                <w:rFonts w:ascii="Times New Roman" w:eastAsia="標楷體" w:hAnsi="Times New Roman" w:hint="eastAsia"/>
                <w:bCs/>
                <w:color w:val="000000" w:themeColor="text1"/>
                <w:sz w:val="28"/>
                <w:szCs w:val="28"/>
                <w:lang w:eastAsia="zh-CN"/>
              </w:rPr>
              <w:t>復甦</w:t>
            </w:r>
            <w:r w:rsidR="001F76A1" w:rsidRPr="00B163CC">
              <w:rPr>
                <w:rFonts w:ascii="Times New Roman" w:eastAsia="標楷體" w:hAnsi="Times New Roman"/>
                <w:bCs/>
                <w:color w:val="000000" w:themeColor="text1"/>
                <w:sz w:val="28"/>
                <w:szCs w:val="28"/>
                <w:lang w:eastAsia="zh-CN"/>
              </w:rPr>
              <w:t>步調</w:t>
            </w:r>
            <w:r w:rsidR="00411C08" w:rsidRPr="00B163CC">
              <w:rPr>
                <w:rFonts w:ascii="Times New Roman" w:eastAsia="標楷體" w:hAnsi="Times New Roman"/>
                <w:bCs/>
                <w:color w:val="000000" w:themeColor="text1"/>
                <w:sz w:val="28"/>
                <w:szCs w:val="28"/>
                <w:lang w:eastAsia="zh-CN"/>
              </w:rPr>
              <w:t>是</w:t>
            </w:r>
            <w:r w:rsidR="006E6577" w:rsidRPr="00B163CC">
              <w:rPr>
                <w:rFonts w:ascii="Times New Roman" w:eastAsia="標楷體" w:hAnsi="Times New Roman"/>
                <w:bCs/>
                <w:color w:val="000000" w:themeColor="text1"/>
                <w:sz w:val="28"/>
                <w:szCs w:val="28"/>
                <w:lang w:eastAsia="zh-CN"/>
              </w:rPr>
              <w:t>屬於</w:t>
            </w:r>
            <w:r w:rsidR="00B02C54" w:rsidRPr="00B163CC">
              <w:rPr>
                <w:rFonts w:ascii="Times New Roman" w:eastAsia="標楷體" w:hAnsi="Times New Roman"/>
                <w:bCs/>
                <w:color w:val="000000" w:themeColor="text1"/>
                <w:sz w:val="28"/>
                <w:szCs w:val="28"/>
                <w:lang w:eastAsia="zh-CN"/>
              </w:rPr>
              <w:t>溫和平穩</w:t>
            </w:r>
            <w:r w:rsidR="00A5205E" w:rsidRPr="00B163CC">
              <w:rPr>
                <w:rFonts w:ascii="Times New Roman" w:eastAsia="標楷體" w:hAnsi="Times New Roman"/>
                <w:bCs/>
                <w:color w:val="000000" w:themeColor="text1"/>
                <w:sz w:val="28"/>
                <w:szCs w:val="28"/>
                <w:lang w:eastAsia="zh-CN"/>
              </w:rPr>
              <w:t>者</w:t>
            </w:r>
            <w:r w:rsidR="007D4CEF" w:rsidRPr="00B163CC">
              <w:rPr>
                <w:rFonts w:ascii="Times New Roman" w:eastAsia="標楷體" w:hAnsi="Times New Roman"/>
                <w:bCs/>
                <w:color w:val="000000" w:themeColor="text1"/>
                <w:sz w:val="28"/>
                <w:szCs w:val="28"/>
                <w:lang w:eastAsia="zh-CN"/>
              </w:rPr>
              <w:t>。</w:t>
            </w:r>
            <w:r w:rsidR="00BE49CB" w:rsidRPr="00B163CC">
              <w:rPr>
                <w:rFonts w:ascii="Times New Roman" w:eastAsia="標楷體" w:hAnsi="Times New Roman"/>
                <w:bCs/>
                <w:color w:val="000000" w:themeColor="text1"/>
                <w:sz w:val="28"/>
                <w:szCs w:val="28"/>
                <w:lang w:eastAsia="zh-CN"/>
              </w:rPr>
              <w:t>2016</w:t>
            </w:r>
            <w:r w:rsidR="00A5205E" w:rsidRPr="00B163CC">
              <w:rPr>
                <w:rFonts w:ascii="Times New Roman" w:eastAsia="標楷體" w:hAnsi="Times New Roman"/>
                <w:bCs/>
                <w:color w:val="000000" w:themeColor="text1"/>
                <w:sz w:val="28"/>
                <w:szCs w:val="28"/>
                <w:lang w:eastAsia="zh-CN"/>
              </w:rPr>
              <w:t>(</w:t>
            </w:r>
            <w:r w:rsidR="006B4665" w:rsidRPr="00B163CC">
              <w:rPr>
                <w:rFonts w:ascii="Times New Roman" w:eastAsia="標楷體" w:hAnsi="Times New Roman"/>
                <w:bCs/>
                <w:color w:val="000000" w:themeColor="text1"/>
                <w:sz w:val="28"/>
                <w:szCs w:val="28"/>
                <w:lang w:eastAsia="zh-CN"/>
              </w:rPr>
              <w:t>衰退</w:t>
            </w:r>
            <w:r w:rsidR="008B58DD" w:rsidRPr="00B163CC">
              <w:rPr>
                <w:rFonts w:ascii="Times New Roman" w:eastAsia="標楷體" w:hAnsi="Times New Roman"/>
                <w:bCs/>
                <w:color w:val="000000" w:themeColor="text1"/>
                <w:sz w:val="28"/>
                <w:szCs w:val="28"/>
                <w:lang w:eastAsia="zh-CN"/>
              </w:rPr>
              <w:t>期</w:t>
            </w:r>
            <w:r w:rsidR="00695C34" w:rsidRPr="00B163CC">
              <w:rPr>
                <w:rFonts w:ascii="Times New Roman" w:eastAsia="標楷體" w:hAnsi="Times New Roman"/>
                <w:bCs/>
                <w:color w:val="000000" w:themeColor="text1"/>
                <w:sz w:val="28"/>
                <w:szCs w:val="28"/>
                <w:lang w:eastAsia="zh-CN"/>
              </w:rPr>
              <w:t>)</w:t>
            </w:r>
            <w:r w:rsidR="008B58DD" w:rsidRPr="00B163CC">
              <w:rPr>
                <w:rFonts w:ascii="Times New Roman" w:eastAsia="標楷體" w:hAnsi="Times New Roman"/>
                <w:bCs/>
                <w:color w:val="000000" w:themeColor="text1"/>
                <w:sz w:val="28"/>
                <w:szCs w:val="28"/>
                <w:lang w:eastAsia="zh-CN"/>
              </w:rPr>
              <w:t>年</w:t>
            </w:r>
            <w:r w:rsidR="00B22614" w:rsidRPr="00B163CC">
              <w:rPr>
                <w:rFonts w:ascii="Times New Roman" w:eastAsia="標楷體" w:hAnsi="Times New Roman"/>
                <w:bCs/>
                <w:color w:val="000000" w:themeColor="text1"/>
                <w:sz w:val="28"/>
                <w:szCs w:val="28"/>
                <w:lang w:eastAsia="zh-CN"/>
              </w:rPr>
              <w:t>成長</w:t>
            </w:r>
            <w:r w:rsidR="00B22614" w:rsidRPr="00B163CC">
              <w:rPr>
                <w:rFonts w:ascii="Times New Roman" w:eastAsia="標楷體" w:hAnsi="Times New Roman"/>
                <w:bCs/>
                <w:color w:val="000000" w:themeColor="text1"/>
                <w:sz w:val="28"/>
                <w:szCs w:val="28"/>
                <w:lang w:eastAsia="zh-CN"/>
              </w:rPr>
              <w:t>0.72%</w:t>
            </w:r>
            <w:r w:rsidR="006C72E1" w:rsidRPr="00B163CC">
              <w:rPr>
                <w:rFonts w:ascii="Times New Roman" w:eastAsia="標楷體" w:hAnsi="Times New Roman"/>
                <w:bCs/>
                <w:color w:val="000000" w:themeColor="text1"/>
                <w:sz w:val="28"/>
                <w:szCs w:val="28"/>
                <w:lang w:eastAsia="zh-CN"/>
              </w:rPr>
              <w:t>，</w:t>
            </w:r>
            <w:r w:rsidR="006C72E1" w:rsidRPr="00B163CC">
              <w:rPr>
                <w:rFonts w:ascii="Times New Roman" w:eastAsia="標楷體" w:hAnsi="Times New Roman"/>
                <w:bCs/>
                <w:color w:val="000000" w:themeColor="text1"/>
                <w:sz w:val="28"/>
                <w:szCs w:val="28"/>
                <w:lang w:eastAsia="zh-CN"/>
              </w:rPr>
              <w:t>2017</w:t>
            </w:r>
            <w:r w:rsidR="0019499E">
              <w:rPr>
                <w:rFonts w:ascii="Times New Roman" w:eastAsia="標楷體" w:hAnsi="Times New Roman"/>
                <w:bCs/>
                <w:color w:val="000000" w:themeColor="text1"/>
                <w:sz w:val="28"/>
                <w:szCs w:val="28"/>
                <w:lang w:eastAsia="zh-CN"/>
              </w:rPr>
              <w:t>(</w:t>
            </w:r>
            <w:r w:rsidR="0019499E">
              <w:rPr>
                <w:rFonts w:ascii="Times New Roman" w:eastAsia="標楷體" w:hAnsi="Times New Roman" w:hint="eastAsia"/>
                <w:bCs/>
                <w:color w:val="000000" w:themeColor="text1"/>
                <w:sz w:val="28"/>
                <w:szCs w:val="28"/>
                <w:lang w:eastAsia="zh-CN"/>
              </w:rPr>
              <w:t>復甦</w:t>
            </w:r>
            <w:r w:rsidR="0098356B" w:rsidRPr="00B163CC">
              <w:rPr>
                <w:rFonts w:ascii="Times New Roman" w:eastAsia="標楷體" w:hAnsi="Times New Roman"/>
                <w:bCs/>
                <w:color w:val="000000" w:themeColor="text1"/>
                <w:sz w:val="28"/>
                <w:szCs w:val="28"/>
                <w:lang w:eastAsia="zh-CN"/>
              </w:rPr>
              <w:t>期</w:t>
            </w:r>
            <w:r w:rsidR="00695C34" w:rsidRPr="00B163CC">
              <w:rPr>
                <w:rFonts w:ascii="Times New Roman" w:eastAsia="標楷體" w:hAnsi="Times New Roman"/>
                <w:bCs/>
                <w:color w:val="000000" w:themeColor="text1"/>
                <w:sz w:val="28"/>
                <w:szCs w:val="28"/>
                <w:lang w:eastAsia="zh-CN"/>
              </w:rPr>
              <w:t>)</w:t>
            </w:r>
            <w:r w:rsidR="006C72E1" w:rsidRPr="00B163CC">
              <w:rPr>
                <w:rFonts w:ascii="Times New Roman" w:eastAsia="標楷體" w:hAnsi="Times New Roman"/>
                <w:bCs/>
                <w:color w:val="000000" w:themeColor="text1"/>
                <w:sz w:val="28"/>
                <w:szCs w:val="28"/>
                <w:lang w:eastAsia="zh-CN"/>
              </w:rPr>
              <w:t>年成</w:t>
            </w:r>
            <w:r w:rsidR="00A85BB7" w:rsidRPr="00B163CC">
              <w:rPr>
                <w:rFonts w:ascii="Times New Roman" w:eastAsia="標楷體" w:hAnsi="Times New Roman"/>
                <w:bCs/>
                <w:color w:val="000000" w:themeColor="text1"/>
                <w:sz w:val="28"/>
                <w:szCs w:val="28"/>
                <w:lang w:eastAsia="zh-CN"/>
              </w:rPr>
              <w:t>長率</w:t>
            </w:r>
            <w:r w:rsidR="00A85BB7" w:rsidRPr="00B163CC">
              <w:rPr>
                <w:rFonts w:ascii="Times New Roman" w:eastAsia="標楷體" w:hAnsi="Times New Roman"/>
                <w:bCs/>
                <w:color w:val="000000" w:themeColor="text1"/>
                <w:sz w:val="28"/>
                <w:szCs w:val="28"/>
                <w:lang w:eastAsia="zh-CN"/>
              </w:rPr>
              <w:t>3.74</w:t>
            </w:r>
            <w:r w:rsidR="004A754B" w:rsidRPr="00B163CC">
              <w:rPr>
                <w:rFonts w:ascii="Times New Roman" w:eastAsia="標楷體" w:hAnsi="Times New Roman"/>
                <w:bCs/>
                <w:color w:val="000000" w:themeColor="text1"/>
                <w:sz w:val="28"/>
                <w:szCs w:val="28"/>
                <w:lang w:eastAsia="zh-CN"/>
              </w:rPr>
              <w:t>%</w:t>
            </w:r>
            <w:r w:rsidR="00C20353" w:rsidRPr="00B163CC">
              <w:rPr>
                <w:rFonts w:ascii="Times New Roman" w:eastAsia="標楷體" w:hAnsi="Times New Roman"/>
                <w:sz w:val="28"/>
                <w:szCs w:val="28"/>
                <w:lang w:eastAsia="zh-CN"/>
              </w:rPr>
              <w:t>，</w:t>
            </w:r>
            <w:r w:rsidR="004A754B" w:rsidRPr="00B163CC">
              <w:rPr>
                <w:rFonts w:ascii="Times New Roman" w:eastAsia="標楷體" w:hAnsi="Times New Roman"/>
                <w:bCs/>
                <w:color w:val="000000" w:themeColor="text1"/>
                <w:sz w:val="28"/>
                <w:szCs w:val="28"/>
                <w:lang w:eastAsia="zh-CN"/>
              </w:rPr>
              <w:t>今年第一季年成長率</w:t>
            </w:r>
            <w:r w:rsidR="008337D4" w:rsidRPr="00B163CC">
              <w:rPr>
                <w:rFonts w:ascii="Times New Roman" w:eastAsia="標楷體" w:hAnsi="Times New Roman"/>
                <w:bCs/>
                <w:color w:val="000000" w:themeColor="text1"/>
                <w:sz w:val="28"/>
                <w:szCs w:val="28"/>
                <w:lang w:eastAsia="zh-CN"/>
              </w:rPr>
              <w:t>高達</w:t>
            </w:r>
            <w:r w:rsidR="008337D4" w:rsidRPr="00B163CC">
              <w:rPr>
                <w:rFonts w:ascii="Times New Roman" w:eastAsia="標楷體" w:hAnsi="Times New Roman"/>
                <w:bCs/>
                <w:color w:val="000000" w:themeColor="text1"/>
                <w:sz w:val="28"/>
                <w:szCs w:val="28"/>
                <w:lang w:eastAsia="zh-CN"/>
              </w:rPr>
              <w:t>4.33%</w:t>
            </w:r>
            <w:r w:rsidR="00F81F58" w:rsidRPr="00B163CC">
              <w:rPr>
                <w:rFonts w:ascii="Times New Roman" w:eastAsia="標楷體" w:hAnsi="Times New Roman"/>
                <w:bCs/>
                <w:color w:val="000000" w:themeColor="text1"/>
                <w:sz w:val="28"/>
                <w:szCs w:val="28"/>
                <w:lang w:eastAsia="zh-CN"/>
              </w:rPr>
              <w:t>。</w:t>
            </w:r>
          </w:p>
          <w:p w14:paraId="2B32C4DE" w14:textId="4F82FF15" w:rsidR="00284B00" w:rsidRPr="00B163CC" w:rsidRDefault="00BC6036" w:rsidP="00284B00">
            <w:pPr>
              <w:pStyle w:val="a3"/>
              <w:numPr>
                <w:ilvl w:val="0"/>
                <w:numId w:val="10"/>
              </w:numPr>
              <w:adjustRightInd w:val="0"/>
              <w:ind w:leftChars="0"/>
              <w:rPr>
                <w:rFonts w:ascii="Times New Roman" w:eastAsia="標楷體" w:hAnsi="Times New Roman"/>
                <w:bCs/>
                <w:color w:val="000000" w:themeColor="text1"/>
                <w:sz w:val="28"/>
                <w:szCs w:val="28"/>
                <w:lang w:eastAsia="zh-CN"/>
              </w:rPr>
            </w:pPr>
            <w:r w:rsidRPr="00B163CC">
              <w:rPr>
                <w:rFonts w:ascii="Times New Roman" w:eastAsia="標楷體" w:hAnsi="Times New Roman"/>
                <w:bCs/>
                <w:color w:val="000000" w:themeColor="text1"/>
                <w:sz w:val="28"/>
                <w:szCs w:val="28"/>
                <w:lang w:eastAsia="zh-CN"/>
              </w:rPr>
              <w:t>金融與保險</w:t>
            </w:r>
            <w:r w:rsidR="006D2385" w:rsidRPr="00B163CC">
              <w:rPr>
                <w:rFonts w:ascii="Times New Roman" w:eastAsia="標楷體" w:hAnsi="Times New Roman"/>
                <w:bCs/>
                <w:color w:val="000000" w:themeColor="text1"/>
                <w:sz w:val="28"/>
                <w:szCs w:val="28"/>
                <w:lang w:eastAsia="zh-CN"/>
              </w:rPr>
              <w:t>業</w:t>
            </w:r>
            <w:r w:rsidR="00977C45" w:rsidRPr="00B163CC">
              <w:rPr>
                <w:rFonts w:ascii="Times New Roman" w:eastAsia="標楷體" w:hAnsi="Times New Roman"/>
                <w:bCs/>
                <w:color w:val="000000" w:themeColor="text1"/>
                <w:sz w:val="28"/>
                <w:szCs w:val="28"/>
                <w:lang w:eastAsia="zh-CN"/>
              </w:rPr>
              <w:t>實質</w:t>
            </w:r>
            <w:r w:rsidR="00977C45" w:rsidRPr="00B163CC">
              <w:rPr>
                <w:rFonts w:ascii="Times New Roman" w:eastAsia="標楷體" w:hAnsi="Times New Roman"/>
                <w:bCs/>
                <w:color w:val="000000" w:themeColor="text1"/>
                <w:sz w:val="28"/>
                <w:szCs w:val="28"/>
                <w:lang w:eastAsia="zh-CN"/>
              </w:rPr>
              <w:t>GDP</w:t>
            </w:r>
            <w:r w:rsidR="005931B7" w:rsidRPr="00B163CC">
              <w:rPr>
                <w:rFonts w:ascii="Times New Roman" w:eastAsia="標楷體" w:hAnsi="Times New Roman"/>
                <w:bCs/>
                <w:color w:val="000000" w:themeColor="text1"/>
                <w:sz w:val="28"/>
                <w:szCs w:val="28"/>
                <w:lang w:eastAsia="zh-CN"/>
              </w:rPr>
              <w:t>規模</w:t>
            </w:r>
            <w:r w:rsidR="002A1441" w:rsidRPr="00B163CC">
              <w:rPr>
                <w:rFonts w:ascii="Times New Roman" w:eastAsia="標楷體" w:hAnsi="Times New Roman"/>
                <w:bCs/>
                <w:color w:val="000000" w:themeColor="text1"/>
                <w:sz w:val="28"/>
                <w:szCs w:val="28"/>
                <w:lang w:eastAsia="zh-CN"/>
              </w:rPr>
              <w:t>約為</w:t>
            </w:r>
            <w:r w:rsidR="002E5B9F" w:rsidRPr="00B163CC">
              <w:rPr>
                <w:rFonts w:ascii="Times New Roman" w:eastAsia="標楷體" w:hAnsi="Times New Roman"/>
                <w:bCs/>
                <w:color w:val="000000" w:themeColor="text1"/>
                <w:sz w:val="28"/>
                <w:szCs w:val="28"/>
                <w:lang w:eastAsia="zh-CN"/>
              </w:rPr>
              <w:t>批發與零售</w:t>
            </w:r>
            <w:r w:rsidR="008F252C" w:rsidRPr="00B163CC">
              <w:rPr>
                <w:rFonts w:ascii="Times New Roman" w:eastAsia="標楷體" w:hAnsi="Times New Roman"/>
                <w:bCs/>
                <w:color w:val="000000" w:themeColor="text1"/>
                <w:sz w:val="28"/>
                <w:szCs w:val="28"/>
                <w:lang w:eastAsia="zh-CN"/>
              </w:rPr>
              <w:t>業的</w:t>
            </w:r>
            <w:r w:rsidR="007771C7" w:rsidRPr="00B163CC">
              <w:rPr>
                <w:rFonts w:ascii="Times New Roman" w:eastAsia="標楷體" w:hAnsi="Times New Roman"/>
                <w:bCs/>
                <w:color w:val="000000" w:themeColor="text1"/>
                <w:sz w:val="28"/>
                <w:szCs w:val="28"/>
                <w:lang w:eastAsia="zh-CN"/>
              </w:rPr>
              <w:t>4</w:t>
            </w:r>
            <w:r w:rsidR="00555270" w:rsidRPr="00B163CC">
              <w:rPr>
                <w:rFonts w:ascii="Times New Roman" w:eastAsia="標楷體" w:hAnsi="Times New Roman"/>
                <w:bCs/>
                <w:color w:val="000000" w:themeColor="text1"/>
                <w:sz w:val="28"/>
                <w:szCs w:val="28"/>
                <w:lang w:eastAsia="zh-CN"/>
              </w:rPr>
              <w:t>成</w:t>
            </w:r>
            <w:r w:rsidR="00555270" w:rsidRPr="00B163CC">
              <w:rPr>
                <w:rFonts w:ascii="Times New Roman" w:eastAsia="標楷體" w:hAnsi="Times New Roman"/>
                <w:bCs/>
                <w:color w:val="000000" w:themeColor="text1"/>
                <w:sz w:val="28"/>
                <w:szCs w:val="28"/>
                <w:lang w:eastAsia="zh-CN"/>
              </w:rPr>
              <w:t>2</w:t>
            </w:r>
            <w:r w:rsidR="004D2F3B" w:rsidRPr="00B163CC">
              <w:rPr>
                <w:rFonts w:ascii="Times New Roman" w:eastAsia="標楷體" w:hAnsi="Times New Roman"/>
                <w:bCs/>
                <w:color w:val="000000" w:themeColor="text1"/>
                <w:sz w:val="28"/>
                <w:szCs w:val="28"/>
                <w:lang w:eastAsia="zh-CN"/>
              </w:rPr>
              <w:t>，其</w:t>
            </w:r>
            <w:r w:rsidR="00977C45" w:rsidRPr="00B163CC">
              <w:rPr>
                <w:rFonts w:ascii="Times New Roman" w:eastAsia="標楷體" w:hAnsi="Times New Roman"/>
                <w:bCs/>
                <w:color w:val="000000" w:themeColor="text1"/>
                <w:sz w:val="28"/>
                <w:szCs w:val="28"/>
                <w:lang w:eastAsia="zh-CN"/>
              </w:rPr>
              <w:t>循環指數</w:t>
            </w:r>
            <w:r w:rsidR="00136D1A" w:rsidRPr="00B163CC">
              <w:rPr>
                <w:rFonts w:ascii="Times New Roman" w:eastAsia="標楷體" w:hAnsi="Times New Roman"/>
                <w:bCs/>
                <w:color w:val="000000" w:themeColor="text1"/>
                <w:sz w:val="28"/>
                <w:szCs w:val="28"/>
                <w:lang w:eastAsia="zh-CN"/>
              </w:rPr>
              <w:t>於</w:t>
            </w:r>
            <w:r w:rsidR="00136D1A" w:rsidRPr="00B163CC">
              <w:rPr>
                <w:rFonts w:ascii="Times New Roman" w:eastAsia="標楷體" w:hAnsi="Times New Roman"/>
                <w:bCs/>
                <w:color w:val="000000" w:themeColor="text1"/>
                <w:sz w:val="28"/>
                <w:szCs w:val="28"/>
                <w:lang w:eastAsia="zh-CN"/>
              </w:rPr>
              <w:t>2017</w:t>
            </w:r>
            <w:r w:rsidR="00136D1A" w:rsidRPr="00B163CC">
              <w:rPr>
                <w:rFonts w:ascii="Times New Roman" w:eastAsia="標楷體" w:hAnsi="Times New Roman"/>
                <w:bCs/>
                <w:color w:val="000000" w:themeColor="text1"/>
                <w:sz w:val="28"/>
                <w:szCs w:val="28"/>
                <w:lang w:eastAsia="zh-CN"/>
              </w:rPr>
              <w:t>年</w:t>
            </w:r>
            <w:r w:rsidR="008A0856" w:rsidRPr="00B163CC">
              <w:rPr>
                <w:rFonts w:ascii="Times New Roman" w:eastAsia="標楷體" w:hAnsi="Times New Roman"/>
                <w:bCs/>
                <w:color w:val="000000" w:themeColor="text1"/>
                <w:sz w:val="28"/>
                <w:szCs w:val="28"/>
                <w:lang w:eastAsia="zh-CN"/>
              </w:rPr>
              <w:t>6</w:t>
            </w:r>
            <w:r w:rsidR="008A0856" w:rsidRPr="00B163CC">
              <w:rPr>
                <w:rFonts w:ascii="Times New Roman" w:eastAsia="標楷體" w:hAnsi="Times New Roman"/>
                <w:bCs/>
                <w:color w:val="000000" w:themeColor="text1"/>
                <w:sz w:val="28"/>
                <w:szCs w:val="28"/>
                <w:lang w:eastAsia="zh-CN"/>
              </w:rPr>
              <w:t>月</w:t>
            </w:r>
            <w:r w:rsidR="00D63DB9" w:rsidRPr="00B163CC">
              <w:rPr>
                <w:rFonts w:ascii="Times New Roman" w:eastAsia="標楷體" w:hAnsi="Times New Roman"/>
                <w:bCs/>
                <w:color w:val="000000" w:themeColor="text1"/>
                <w:sz w:val="28"/>
                <w:szCs w:val="28"/>
                <w:lang w:eastAsia="zh-CN"/>
              </w:rPr>
              <w:t>才</w:t>
            </w:r>
            <w:r w:rsidR="008A0856" w:rsidRPr="00B163CC">
              <w:rPr>
                <w:rFonts w:ascii="Times New Roman" w:eastAsia="標楷體" w:hAnsi="Times New Roman"/>
                <w:bCs/>
                <w:color w:val="000000" w:themeColor="text1"/>
                <w:sz w:val="28"/>
                <w:szCs w:val="28"/>
                <w:lang w:eastAsia="zh-CN"/>
              </w:rPr>
              <w:t>出現底谷，迄</w:t>
            </w:r>
            <w:r w:rsidR="00711C5D" w:rsidRPr="00B163CC">
              <w:rPr>
                <w:rFonts w:ascii="Times New Roman" w:eastAsia="標楷體" w:hAnsi="Times New Roman"/>
                <w:bCs/>
                <w:color w:val="000000" w:themeColor="text1"/>
                <w:sz w:val="28"/>
                <w:szCs w:val="28"/>
                <w:lang w:eastAsia="zh-CN"/>
              </w:rPr>
              <w:t>五月推估值已超越其本身的長期趨勢</w:t>
            </w:r>
            <w:r w:rsidR="00F912C6" w:rsidRPr="00B163CC">
              <w:rPr>
                <w:rFonts w:ascii="Times New Roman" w:eastAsia="標楷體" w:hAnsi="Times New Roman"/>
                <w:bCs/>
                <w:color w:val="000000" w:themeColor="text1"/>
                <w:sz w:val="28"/>
                <w:szCs w:val="28"/>
                <w:lang w:eastAsia="zh-CN"/>
              </w:rPr>
              <w:t>值，屬於</w:t>
            </w:r>
            <w:r w:rsidR="00D236E2" w:rsidRPr="00B163CC">
              <w:rPr>
                <w:rFonts w:ascii="Times New Roman" w:eastAsia="標楷體" w:hAnsi="Times New Roman"/>
                <w:bCs/>
                <w:color w:val="000000" w:themeColor="text1"/>
                <w:sz w:val="28"/>
                <w:szCs w:val="28"/>
                <w:lang w:eastAsia="zh-CN"/>
              </w:rPr>
              <w:t>波動幅度較大</w:t>
            </w:r>
            <w:r w:rsidR="00D6419A" w:rsidRPr="00B163CC">
              <w:rPr>
                <w:rFonts w:ascii="Times New Roman" w:eastAsia="標楷體" w:hAnsi="Times New Roman"/>
                <w:bCs/>
                <w:color w:val="000000" w:themeColor="text1"/>
                <w:sz w:val="28"/>
                <w:szCs w:val="28"/>
                <w:lang w:eastAsia="zh-CN"/>
              </w:rPr>
              <w:t>但</w:t>
            </w:r>
            <w:r w:rsidR="0019499E">
              <w:rPr>
                <w:rFonts w:ascii="Times New Roman" w:eastAsia="標楷體" w:hAnsi="Times New Roman" w:hint="eastAsia"/>
                <w:bCs/>
                <w:color w:val="000000" w:themeColor="text1"/>
                <w:sz w:val="28"/>
                <w:szCs w:val="28"/>
                <w:lang w:eastAsia="zh-CN"/>
              </w:rPr>
              <w:t>復甦</w:t>
            </w:r>
            <w:r w:rsidR="00EB37B5" w:rsidRPr="00B163CC">
              <w:rPr>
                <w:rFonts w:ascii="Times New Roman" w:eastAsia="標楷體" w:hAnsi="Times New Roman"/>
                <w:bCs/>
                <w:color w:val="000000" w:themeColor="text1"/>
                <w:sz w:val="28"/>
                <w:szCs w:val="28"/>
                <w:lang w:eastAsia="zh-CN"/>
              </w:rPr>
              <w:t>力道較強</w:t>
            </w:r>
            <w:r w:rsidR="000C04EE" w:rsidRPr="00B163CC">
              <w:rPr>
                <w:rFonts w:ascii="Times New Roman" w:eastAsia="標楷體" w:hAnsi="Times New Roman"/>
                <w:bCs/>
                <w:color w:val="000000" w:themeColor="text1"/>
                <w:sz w:val="28"/>
                <w:szCs w:val="28"/>
                <w:lang w:eastAsia="zh-CN"/>
              </w:rPr>
              <w:t>者</w:t>
            </w:r>
            <w:r w:rsidR="00EB37B5" w:rsidRPr="00B163CC">
              <w:rPr>
                <w:rFonts w:ascii="Times New Roman" w:eastAsia="標楷體" w:hAnsi="Times New Roman"/>
                <w:bCs/>
                <w:color w:val="000000" w:themeColor="text1"/>
                <w:sz w:val="28"/>
                <w:szCs w:val="28"/>
                <w:lang w:eastAsia="zh-CN"/>
              </w:rPr>
              <w:t>。</w:t>
            </w:r>
            <w:r w:rsidR="00FC2F93" w:rsidRPr="00B163CC">
              <w:rPr>
                <w:rFonts w:ascii="Times New Roman" w:eastAsia="標楷體" w:hAnsi="Times New Roman"/>
                <w:bCs/>
                <w:color w:val="000000" w:themeColor="text1"/>
                <w:sz w:val="28"/>
                <w:szCs w:val="28"/>
                <w:lang w:eastAsia="zh-CN"/>
              </w:rPr>
              <w:t>在</w:t>
            </w:r>
            <w:r w:rsidR="00FC2F93" w:rsidRPr="00B163CC">
              <w:rPr>
                <w:rFonts w:ascii="Times New Roman" w:eastAsia="標楷體" w:hAnsi="Times New Roman"/>
                <w:bCs/>
                <w:color w:val="000000" w:themeColor="text1"/>
                <w:sz w:val="28"/>
                <w:szCs w:val="28"/>
                <w:lang w:eastAsia="zh-CN"/>
              </w:rPr>
              <w:t>2016</w:t>
            </w:r>
            <w:r w:rsidR="00FC2F93" w:rsidRPr="00B163CC">
              <w:rPr>
                <w:rFonts w:ascii="Times New Roman" w:eastAsia="標楷體" w:hAnsi="Times New Roman"/>
                <w:bCs/>
                <w:color w:val="000000" w:themeColor="text1"/>
                <w:sz w:val="28"/>
                <w:szCs w:val="28"/>
                <w:lang w:eastAsia="zh-CN"/>
              </w:rPr>
              <w:t>年</w:t>
            </w:r>
            <w:r w:rsidR="00DE5CE3" w:rsidRPr="00B163CC">
              <w:rPr>
                <w:rFonts w:ascii="Times New Roman" w:eastAsia="標楷體" w:hAnsi="Times New Roman"/>
                <w:bCs/>
                <w:color w:val="000000" w:themeColor="text1"/>
                <w:sz w:val="28"/>
                <w:szCs w:val="28"/>
                <w:lang w:eastAsia="zh-CN"/>
              </w:rPr>
              <w:t>成長了</w:t>
            </w:r>
            <w:r w:rsidR="00DE5CE3" w:rsidRPr="00B163CC">
              <w:rPr>
                <w:rFonts w:ascii="Times New Roman" w:eastAsia="標楷體" w:hAnsi="Times New Roman"/>
                <w:bCs/>
                <w:color w:val="000000" w:themeColor="text1"/>
                <w:sz w:val="28"/>
                <w:szCs w:val="28"/>
                <w:lang w:eastAsia="zh-CN"/>
              </w:rPr>
              <w:t>2.3%</w:t>
            </w:r>
            <w:r w:rsidR="0019499E">
              <w:rPr>
                <w:rFonts w:ascii="Times New Roman" w:eastAsia="標楷體" w:hAnsi="Times New Roman" w:hint="eastAsia"/>
                <w:bCs/>
                <w:color w:val="000000" w:themeColor="text1"/>
                <w:sz w:val="28"/>
                <w:szCs w:val="28"/>
                <w:lang w:eastAsia="zh-CN"/>
              </w:rPr>
              <w:t>，</w:t>
            </w:r>
            <w:r w:rsidR="00A06B16" w:rsidRPr="00B163CC">
              <w:rPr>
                <w:rFonts w:ascii="Times New Roman" w:eastAsia="標楷體" w:hAnsi="Times New Roman"/>
                <w:bCs/>
                <w:color w:val="000000" w:themeColor="text1"/>
                <w:sz w:val="28"/>
                <w:szCs w:val="28"/>
                <w:lang w:eastAsia="zh-CN"/>
              </w:rPr>
              <w:t>2017</w:t>
            </w:r>
            <w:r w:rsidR="00A06B16" w:rsidRPr="00B163CC">
              <w:rPr>
                <w:rFonts w:ascii="Times New Roman" w:eastAsia="標楷體" w:hAnsi="Times New Roman"/>
                <w:bCs/>
                <w:color w:val="000000" w:themeColor="text1"/>
                <w:sz w:val="28"/>
                <w:szCs w:val="28"/>
                <w:lang w:eastAsia="zh-CN"/>
              </w:rPr>
              <w:t>年成長了</w:t>
            </w:r>
            <w:r w:rsidR="00A06B16" w:rsidRPr="00B163CC">
              <w:rPr>
                <w:rFonts w:ascii="Times New Roman" w:eastAsia="標楷體" w:hAnsi="Times New Roman"/>
                <w:bCs/>
                <w:color w:val="000000" w:themeColor="text1"/>
                <w:sz w:val="28"/>
                <w:szCs w:val="28"/>
                <w:lang w:eastAsia="zh-CN"/>
              </w:rPr>
              <w:t>4.5</w:t>
            </w:r>
            <w:r w:rsidR="00F0560E" w:rsidRPr="00B163CC">
              <w:rPr>
                <w:rFonts w:ascii="Times New Roman" w:eastAsia="標楷體" w:hAnsi="Times New Roman"/>
                <w:bCs/>
                <w:color w:val="000000" w:themeColor="text1"/>
                <w:sz w:val="28"/>
                <w:szCs w:val="28"/>
                <w:lang w:eastAsia="zh-CN"/>
              </w:rPr>
              <w:t>%</w:t>
            </w:r>
            <w:r w:rsidR="00C20353" w:rsidRPr="00B163CC">
              <w:rPr>
                <w:rFonts w:ascii="Times New Roman" w:eastAsia="標楷體" w:hAnsi="Times New Roman"/>
                <w:sz w:val="28"/>
                <w:szCs w:val="28"/>
                <w:lang w:eastAsia="zh-CN"/>
              </w:rPr>
              <w:t>，</w:t>
            </w:r>
            <w:r w:rsidR="00F0560E" w:rsidRPr="00B163CC">
              <w:rPr>
                <w:rFonts w:ascii="Times New Roman" w:eastAsia="標楷體" w:hAnsi="Times New Roman"/>
                <w:bCs/>
                <w:color w:val="000000" w:themeColor="text1"/>
                <w:sz w:val="28"/>
                <w:szCs w:val="28"/>
                <w:lang w:eastAsia="zh-CN"/>
              </w:rPr>
              <w:t>今年第一季</w:t>
            </w:r>
            <w:r w:rsidR="00396467" w:rsidRPr="00B163CC">
              <w:rPr>
                <w:rFonts w:ascii="Times New Roman" w:eastAsia="標楷體" w:hAnsi="Times New Roman"/>
                <w:bCs/>
                <w:color w:val="000000" w:themeColor="text1"/>
                <w:sz w:val="28"/>
                <w:szCs w:val="28"/>
                <w:lang w:eastAsia="zh-CN"/>
              </w:rPr>
              <w:t>更成長了</w:t>
            </w:r>
            <w:r w:rsidR="00396467" w:rsidRPr="00B163CC">
              <w:rPr>
                <w:rFonts w:ascii="Times New Roman" w:eastAsia="標楷體" w:hAnsi="Times New Roman"/>
                <w:bCs/>
                <w:color w:val="000000" w:themeColor="text1"/>
                <w:sz w:val="28"/>
                <w:szCs w:val="28"/>
                <w:lang w:eastAsia="zh-CN"/>
              </w:rPr>
              <w:t>7.13%</w:t>
            </w:r>
            <w:r w:rsidR="004339FC" w:rsidRPr="00B163CC">
              <w:rPr>
                <w:rFonts w:ascii="Times New Roman" w:eastAsia="標楷體" w:hAnsi="Times New Roman"/>
                <w:bCs/>
                <w:color w:val="000000" w:themeColor="text1"/>
                <w:sz w:val="28"/>
                <w:szCs w:val="28"/>
                <w:lang w:eastAsia="zh-CN"/>
              </w:rPr>
              <w:t>可作佐證。</w:t>
            </w:r>
          </w:p>
          <w:p w14:paraId="415BB46A" w14:textId="399748AC" w:rsidR="00EB37B5" w:rsidRPr="00B163CC" w:rsidRDefault="00EE07AE" w:rsidP="00284B00">
            <w:pPr>
              <w:pStyle w:val="a3"/>
              <w:numPr>
                <w:ilvl w:val="0"/>
                <w:numId w:val="10"/>
              </w:numPr>
              <w:adjustRightInd w:val="0"/>
              <w:ind w:leftChars="0"/>
              <w:rPr>
                <w:rFonts w:ascii="Times New Roman" w:eastAsia="標楷體" w:hAnsi="Times New Roman"/>
                <w:bCs/>
                <w:color w:val="000000" w:themeColor="text1"/>
                <w:sz w:val="28"/>
                <w:szCs w:val="28"/>
                <w:lang w:eastAsia="zh-CN"/>
              </w:rPr>
            </w:pPr>
            <w:r w:rsidRPr="00B163CC">
              <w:rPr>
                <w:rFonts w:ascii="Times New Roman" w:eastAsia="標楷體" w:hAnsi="Times New Roman"/>
                <w:bCs/>
                <w:color w:val="000000" w:themeColor="text1"/>
                <w:sz w:val="28"/>
                <w:szCs w:val="28"/>
                <w:lang w:eastAsia="zh-CN"/>
              </w:rPr>
              <w:t>不動產</w:t>
            </w:r>
            <w:r w:rsidR="000E3620" w:rsidRPr="00B163CC">
              <w:rPr>
                <w:rFonts w:ascii="Times New Roman" w:eastAsia="標楷體" w:hAnsi="Times New Roman"/>
                <w:bCs/>
                <w:color w:val="000000" w:themeColor="text1"/>
                <w:sz w:val="28"/>
                <w:szCs w:val="28"/>
                <w:lang w:eastAsia="zh-CN"/>
              </w:rPr>
              <w:t>及住宅服務</w:t>
            </w:r>
            <w:r w:rsidR="008B74F8" w:rsidRPr="00B163CC">
              <w:rPr>
                <w:rFonts w:ascii="Times New Roman" w:eastAsia="標楷體" w:hAnsi="Times New Roman"/>
                <w:bCs/>
                <w:color w:val="000000" w:themeColor="text1"/>
                <w:sz w:val="28"/>
                <w:szCs w:val="28"/>
                <w:lang w:eastAsia="zh-CN"/>
              </w:rPr>
              <w:t>業</w:t>
            </w:r>
            <w:r w:rsidR="000E3620" w:rsidRPr="00B163CC">
              <w:rPr>
                <w:rFonts w:ascii="Times New Roman" w:eastAsia="標楷體" w:hAnsi="Times New Roman"/>
                <w:bCs/>
                <w:color w:val="000000" w:themeColor="text1"/>
                <w:sz w:val="28"/>
                <w:szCs w:val="28"/>
                <w:lang w:eastAsia="zh-CN"/>
              </w:rPr>
              <w:t>實質</w:t>
            </w:r>
            <w:r w:rsidR="000E3620" w:rsidRPr="00B163CC">
              <w:rPr>
                <w:rFonts w:ascii="Times New Roman" w:eastAsia="標楷體" w:hAnsi="Times New Roman"/>
                <w:bCs/>
                <w:color w:val="000000" w:themeColor="text1"/>
                <w:sz w:val="28"/>
                <w:szCs w:val="28"/>
                <w:lang w:eastAsia="zh-CN"/>
              </w:rPr>
              <w:t>GDP</w:t>
            </w:r>
            <w:r w:rsidR="005931B7" w:rsidRPr="00B163CC">
              <w:rPr>
                <w:rFonts w:ascii="Times New Roman" w:eastAsia="標楷體" w:hAnsi="Times New Roman"/>
                <w:bCs/>
                <w:color w:val="000000" w:themeColor="text1"/>
                <w:sz w:val="28"/>
                <w:szCs w:val="28"/>
                <w:lang w:eastAsia="zh-CN"/>
              </w:rPr>
              <w:t>規模</w:t>
            </w:r>
            <w:r w:rsidR="00183479" w:rsidRPr="00B163CC">
              <w:rPr>
                <w:rFonts w:ascii="Times New Roman" w:eastAsia="標楷體" w:hAnsi="Times New Roman"/>
                <w:bCs/>
                <w:color w:val="000000" w:themeColor="text1"/>
                <w:sz w:val="28"/>
                <w:szCs w:val="28"/>
                <w:lang w:eastAsia="zh-CN"/>
              </w:rPr>
              <w:t>高出金融保險業</w:t>
            </w:r>
            <w:r w:rsidR="00640C51" w:rsidRPr="00B163CC">
              <w:rPr>
                <w:rFonts w:ascii="Times New Roman" w:eastAsia="標楷體" w:hAnsi="Times New Roman"/>
                <w:bCs/>
                <w:color w:val="000000" w:themeColor="text1"/>
                <w:sz w:val="28"/>
                <w:szCs w:val="28"/>
                <w:lang w:eastAsia="zh-CN"/>
              </w:rPr>
              <w:t>17%</w:t>
            </w:r>
            <w:r w:rsidR="005931B7" w:rsidRPr="00B163CC">
              <w:rPr>
                <w:rFonts w:ascii="Times New Roman" w:eastAsia="標楷體" w:hAnsi="Times New Roman"/>
                <w:bCs/>
                <w:color w:val="000000" w:themeColor="text1"/>
                <w:sz w:val="28"/>
                <w:szCs w:val="28"/>
                <w:lang w:eastAsia="zh-CN"/>
              </w:rPr>
              <w:t>，</w:t>
            </w:r>
            <w:r w:rsidR="0098646A" w:rsidRPr="00B163CC">
              <w:rPr>
                <w:rFonts w:ascii="Times New Roman" w:eastAsia="標楷體" w:hAnsi="Times New Roman"/>
                <w:bCs/>
                <w:color w:val="000000" w:themeColor="text1"/>
                <w:sz w:val="28"/>
                <w:szCs w:val="28"/>
                <w:lang w:eastAsia="zh-CN"/>
              </w:rPr>
              <w:t>循環指數</w:t>
            </w:r>
            <w:r w:rsidR="000E3620" w:rsidRPr="00B163CC">
              <w:rPr>
                <w:rFonts w:ascii="Times New Roman" w:eastAsia="標楷體" w:hAnsi="Times New Roman"/>
                <w:bCs/>
                <w:color w:val="000000" w:themeColor="text1"/>
                <w:sz w:val="28"/>
                <w:szCs w:val="28"/>
                <w:lang w:eastAsia="zh-CN"/>
              </w:rPr>
              <w:t>自</w:t>
            </w:r>
            <w:r w:rsidR="00125902" w:rsidRPr="00B163CC">
              <w:rPr>
                <w:rFonts w:ascii="Times New Roman" w:eastAsia="標楷體" w:hAnsi="Times New Roman"/>
                <w:bCs/>
                <w:color w:val="000000" w:themeColor="text1"/>
                <w:sz w:val="28"/>
                <w:szCs w:val="28"/>
                <w:lang w:eastAsia="zh-CN"/>
              </w:rPr>
              <w:t>2015</w:t>
            </w:r>
            <w:r w:rsidR="00125902" w:rsidRPr="00B163CC">
              <w:rPr>
                <w:rFonts w:ascii="Times New Roman" w:eastAsia="標楷體" w:hAnsi="Times New Roman"/>
                <w:bCs/>
                <w:color w:val="000000" w:themeColor="text1"/>
                <w:sz w:val="28"/>
                <w:szCs w:val="28"/>
                <w:lang w:eastAsia="zh-CN"/>
              </w:rPr>
              <w:t>年</w:t>
            </w:r>
            <w:r w:rsidR="00125902" w:rsidRPr="00B163CC">
              <w:rPr>
                <w:rFonts w:ascii="Times New Roman" w:eastAsia="標楷體" w:hAnsi="Times New Roman"/>
                <w:bCs/>
                <w:color w:val="000000" w:themeColor="text1"/>
                <w:sz w:val="28"/>
                <w:szCs w:val="28"/>
                <w:lang w:eastAsia="zh-CN"/>
              </w:rPr>
              <w:t>8</w:t>
            </w:r>
            <w:r w:rsidR="00125902" w:rsidRPr="00B163CC">
              <w:rPr>
                <w:rFonts w:ascii="Times New Roman" w:eastAsia="標楷體" w:hAnsi="Times New Roman"/>
                <w:bCs/>
                <w:color w:val="000000" w:themeColor="text1"/>
                <w:sz w:val="28"/>
                <w:szCs w:val="28"/>
                <w:lang w:eastAsia="zh-CN"/>
              </w:rPr>
              <w:t>月</w:t>
            </w:r>
            <w:r w:rsidR="0098646A" w:rsidRPr="00B163CC">
              <w:rPr>
                <w:rFonts w:ascii="Times New Roman" w:eastAsia="標楷體" w:hAnsi="Times New Roman"/>
                <w:bCs/>
                <w:color w:val="000000" w:themeColor="text1"/>
                <w:sz w:val="28"/>
                <w:szCs w:val="28"/>
                <w:lang w:eastAsia="zh-CN"/>
              </w:rPr>
              <w:t>出現高峰（</w:t>
            </w:r>
            <w:r w:rsidR="0098646A" w:rsidRPr="00B163CC">
              <w:rPr>
                <w:rFonts w:ascii="Times New Roman" w:eastAsia="標楷體" w:hAnsi="Times New Roman"/>
                <w:bCs/>
                <w:color w:val="000000" w:themeColor="text1"/>
                <w:sz w:val="28"/>
                <w:szCs w:val="28"/>
                <w:lang w:eastAsia="zh-CN"/>
              </w:rPr>
              <w:t>peak</w:t>
            </w:r>
            <w:r w:rsidR="0098646A" w:rsidRPr="00B163CC">
              <w:rPr>
                <w:rFonts w:ascii="Times New Roman" w:eastAsia="標楷體" w:hAnsi="Times New Roman"/>
                <w:bCs/>
                <w:color w:val="000000" w:themeColor="text1"/>
                <w:sz w:val="28"/>
                <w:szCs w:val="28"/>
                <w:lang w:eastAsia="zh-CN"/>
              </w:rPr>
              <w:t>）</w:t>
            </w:r>
            <w:r w:rsidR="007D3629" w:rsidRPr="00B163CC">
              <w:rPr>
                <w:rFonts w:ascii="Times New Roman" w:eastAsia="標楷體" w:hAnsi="Times New Roman"/>
                <w:bCs/>
                <w:color w:val="000000" w:themeColor="text1"/>
                <w:sz w:val="28"/>
                <w:szCs w:val="28"/>
                <w:lang w:eastAsia="zh-CN"/>
              </w:rPr>
              <w:t>後一路下滑</w:t>
            </w:r>
            <w:r w:rsidR="00315EB6" w:rsidRPr="00B163CC">
              <w:rPr>
                <w:rFonts w:ascii="Times New Roman" w:eastAsia="標楷體" w:hAnsi="Times New Roman"/>
                <w:bCs/>
                <w:color w:val="000000" w:themeColor="text1"/>
                <w:sz w:val="28"/>
                <w:szCs w:val="28"/>
                <w:lang w:eastAsia="zh-CN"/>
              </w:rPr>
              <w:t>，</w:t>
            </w:r>
            <w:r w:rsidR="007B1A2C" w:rsidRPr="00B163CC">
              <w:rPr>
                <w:rFonts w:ascii="Times New Roman" w:eastAsia="標楷體" w:hAnsi="Times New Roman"/>
                <w:bCs/>
                <w:color w:val="000000" w:themeColor="text1"/>
                <w:sz w:val="28"/>
                <w:szCs w:val="28"/>
                <w:lang w:eastAsia="zh-CN"/>
              </w:rPr>
              <w:t>是</w:t>
            </w:r>
            <w:r w:rsidR="004B192F" w:rsidRPr="00B163CC">
              <w:rPr>
                <w:rFonts w:ascii="Times New Roman" w:eastAsia="標楷體" w:hAnsi="Times New Roman"/>
                <w:bCs/>
                <w:color w:val="000000" w:themeColor="text1"/>
                <w:sz w:val="28"/>
                <w:szCs w:val="28"/>
                <w:lang w:eastAsia="zh-CN"/>
              </w:rPr>
              <w:t>目前</w:t>
            </w:r>
            <w:r w:rsidR="004910B8" w:rsidRPr="00B163CC">
              <w:rPr>
                <w:rFonts w:ascii="Times New Roman" w:eastAsia="標楷體" w:hAnsi="Times New Roman"/>
                <w:bCs/>
                <w:color w:val="000000" w:themeColor="text1"/>
                <w:sz w:val="28"/>
                <w:szCs w:val="28"/>
                <w:lang w:eastAsia="zh-CN"/>
              </w:rPr>
              <w:t>各子指標中</w:t>
            </w:r>
            <w:r w:rsidR="0053521C" w:rsidRPr="00B163CC">
              <w:rPr>
                <w:rFonts w:ascii="Times New Roman" w:eastAsia="標楷體" w:hAnsi="Times New Roman"/>
                <w:bCs/>
                <w:color w:val="000000" w:themeColor="text1"/>
                <w:sz w:val="28"/>
                <w:szCs w:val="28"/>
                <w:lang w:eastAsia="zh-CN"/>
              </w:rPr>
              <w:t>，其</w:t>
            </w:r>
            <w:r w:rsidR="00D02EA8" w:rsidRPr="00B163CC">
              <w:rPr>
                <w:rFonts w:ascii="Times New Roman" w:eastAsia="標楷體" w:hAnsi="Times New Roman"/>
                <w:bCs/>
                <w:color w:val="000000" w:themeColor="text1"/>
                <w:sz w:val="28"/>
                <w:szCs w:val="28"/>
                <w:lang w:eastAsia="zh-CN"/>
              </w:rPr>
              <w:t>循環指數</w:t>
            </w:r>
            <w:r w:rsidR="00E27B81" w:rsidRPr="00B163CC">
              <w:rPr>
                <w:rFonts w:ascii="Times New Roman" w:eastAsia="標楷體" w:hAnsi="Times New Roman"/>
                <w:bCs/>
                <w:color w:val="000000" w:themeColor="text1"/>
                <w:sz w:val="28"/>
                <w:szCs w:val="28"/>
                <w:lang w:eastAsia="zh-CN"/>
              </w:rPr>
              <w:t>與本身長期趨勢值落差</w:t>
            </w:r>
            <w:r w:rsidR="0053521C" w:rsidRPr="00B163CC">
              <w:rPr>
                <w:rFonts w:ascii="Times New Roman" w:eastAsia="標楷體" w:hAnsi="Times New Roman"/>
                <w:bCs/>
                <w:color w:val="000000" w:themeColor="text1"/>
                <w:sz w:val="28"/>
                <w:szCs w:val="28"/>
                <w:lang w:eastAsia="zh-CN"/>
              </w:rPr>
              <w:t>最大者。</w:t>
            </w:r>
            <w:r w:rsidR="00AE3791" w:rsidRPr="00B163CC">
              <w:rPr>
                <w:rFonts w:ascii="Times New Roman" w:eastAsia="標楷體" w:hAnsi="Times New Roman"/>
                <w:bCs/>
                <w:color w:val="000000" w:themeColor="text1"/>
                <w:sz w:val="28"/>
                <w:szCs w:val="28"/>
                <w:lang w:eastAsia="zh-CN"/>
              </w:rPr>
              <w:t>2016</w:t>
            </w:r>
            <w:r w:rsidR="00AE3791" w:rsidRPr="00B163CC">
              <w:rPr>
                <w:rFonts w:ascii="Times New Roman" w:eastAsia="標楷體" w:hAnsi="Times New Roman"/>
                <w:bCs/>
                <w:color w:val="000000" w:themeColor="text1"/>
                <w:sz w:val="28"/>
                <w:szCs w:val="28"/>
                <w:lang w:eastAsia="zh-CN"/>
              </w:rPr>
              <w:t>年</w:t>
            </w:r>
            <w:r w:rsidR="008E51F5" w:rsidRPr="00B163CC">
              <w:rPr>
                <w:rFonts w:ascii="Times New Roman" w:eastAsia="標楷體" w:hAnsi="Times New Roman"/>
                <w:bCs/>
                <w:color w:val="000000" w:themeColor="text1"/>
                <w:sz w:val="28"/>
                <w:szCs w:val="28"/>
                <w:lang w:eastAsia="zh-CN"/>
              </w:rPr>
              <w:t>成長率</w:t>
            </w:r>
            <w:r w:rsidR="008E51F5" w:rsidRPr="00B163CC">
              <w:rPr>
                <w:rFonts w:ascii="Times New Roman" w:eastAsia="標楷體" w:hAnsi="Times New Roman"/>
                <w:bCs/>
                <w:color w:val="000000" w:themeColor="text1"/>
                <w:sz w:val="28"/>
                <w:szCs w:val="28"/>
                <w:lang w:eastAsia="zh-CN"/>
              </w:rPr>
              <w:t>0.8%</w:t>
            </w:r>
            <w:r w:rsidR="00B71EA7" w:rsidRPr="00B163CC">
              <w:rPr>
                <w:rFonts w:ascii="Times New Roman" w:eastAsia="標楷體" w:hAnsi="Times New Roman"/>
                <w:sz w:val="28"/>
                <w:szCs w:val="28"/>
                <w:lang w:eastAsia="zh-CN"/>
              </w:rPr>
              <w:t>，</w:t>
            </w:r>
            <w:r w:rsidR="008E51F5" w:rsidRPr="00B163CC">
              <w:rPr>
                <w:rFonts w:ascii="Times New Roman" w:eastAsia="標楷體" w:hAnsi="Times New Roman"/>
                <w:bCs/>
                <w:color w:val="000000" w:themeColor="text1"/>
                <w:sz w:val="28"/>
                <w:szCs w:val="28"/>
                <w:lang w:eastAsia="zh-CN"/>
              </w:rPr>
              <w:t>2017</w:t>
            </w:r>
            <w:r w:rsidR="008E51F5" w:rsidRPr="00B163CC">
              <w:rPr>
                <w:rFonts w:ascii="Times New Roman" w:eastAsia="標楷體" w:hAnsi="Times New Roman"/>
                <w:bCs/>
                <w:color w:val="000000" w:themeColor="text1"/>
                <w:sz w:val="28"/>
                <w:szCs w:val="28"/>
                <w:lang w:eastAsia="zh-CN"/>
              </w:rPr>
              <w:t>年</w:t>
            </w:r>
            <w:r w:rsidR="0007109C" w:rsidRPr="00B163CC">
              <w:rPr>
                <w:rFonts w:ascii="Times New Roman" w:eastAsia="標楷體" w:hAnsi="Times New Roman"/>
                <w:bCs/>
                <w:color w:val="000000" w:themeColor="text1"/>
                <w:sz w:val="28"/>
                <w:szCs w:val="28"/>
                <w:lang w:eastAsia="zh-CN"/>
              </w:rPr>
              <w:t>也只有</w:t>
            </w:r>
            <w:r w:rsidR="0007109C" w:rsidRPr="00B163CC">
              <w:rPr>
                <w:rFonts w:ascii="Times New Roman" w:eastAsia="標楷體" w:hAnsi="Times New Roman"/>
                <w:bCs/>
                <w:color w:val="000000" w:themeColor="text1"/>
                <w:sz w:val="28"/>
                <w:szCs w:val="28"/>
                <w:lang w:eastAsia="zh-CN"/>
              </w:rPr>
              <w:t>1.1%</w:t>
            </w:r>
            <w:r w:rsidR="00C20353" w:rsidRPr="00B163CC">
              <w:rPr>
                <w:rFonts w:ascii="Times New Roman" w:eastAsia="標楷體" w:hAnsi="Times New Roman"/>
                <w:sz w:val="28"/>
                <w:szCs w:val="28"/>
                <w:lang w:eastAsia="zh-CN"/>
              </w:rPr>
              <w:t>，</w:t>
            </w:r>
            <w:r w:rsidR="0007109C" w:rsidRPr="00B163CC">
              <w:rPr>
                <w:rFonts w:ascii="Times New Roman" w:eastAsia="標楷體" w:hAnsi="Times New Roman"/>
                <w:bCs/>
                <w:color w:val="000000" w:themeColor="text1"/>
                <w:sz w:val="28"/>
                <w:szCs w:val="28"/>
                <w:lang w:eastAsia="zh-CN"/>
              </w:rPr>
              <w:t>今年第一</w:t>
            </w:r>
            <w:r w:rsidR="00865C6D" w:rsidRPr="00B163CC">
              <w:rPr>
                <w:rFonts w:ascii="Times New Roman" w:eastAsia="標楷體" w:hAnsi="Times New Roman"/>
                <w:bCs/>
                <w:color w:val="000000" w:themeColor="text1"/>
                <w:sz w:val="28"/>
                <w:szCs w:val="28"/>
                <w:lang w:eastAsia="zh-CN"/>
              </w:rPr>
              <w:t>季年成長率</w:t>
            </w:r>
            <w:r w:rsidR="00354BD0" w:rsidRPr="00B163CC">
              <w:rPr>
                <w:rFonts w:ascii="Times New Roman" w:eastAsia="標楷體" w:hAnsi="Times New Roman"/>
                <w:bCs/>
                <w:color w:val="000000" w:themeColor="text1"/>
                <w:sz w:val="28"/>
                <w:szCs w:val="28"/>
                <w:lang w:eastAsia="zh-CN"/>
              </w:rPr>
              <w:t>亦僅</w:t>
            </w:r>
            <w:r w:rsidR="00354BD0" w:rsidRPr="00B163CC">
              <w:rPr>
                <w:rFonts w:ascii="Times New Roman" w:eastAsia="標楷體" w:hAnsi="Times New Roman"/>
                <w:bCs/>
                <w:color w:val="000000" w:themeColor="text1"/>
                <w:sz w:val="28"/>
                <w:szCs w:val="28"/>
                <w:lang w:eastAsia="zh-CN"/>
              </w:rPr>
              <w:t>0.96%</w:t>
            </w:r>
            <w:r w:rsidR="00A50700" w:rsidRPr="00B163CC">
              <w:rPr>
                <w:rFonts w:ascii="Times New Roman" w:eastAsia="標楷體" w:hAnsi="Times New Roman"/>
                <w:bCs/>
                <w:color w:val="000000" w:themeColor="text1"/>
                <w:sz w:val="28"/>
                <w:szCs w:val="28"/>
                <w:lang w:eastAsia="zh-CN"/>
              </w:rPr>
              <w:t>，</w:t>
            </w:r>
            <w:r w:rsidR="00CD3D61" w:rsidRPr="00B163CC">
              <w:rPr>
                <w:rFonts w:ascii="Times New Roman" w:eastAsia="標楷體" w:hAnsi="Times New Roman"/>
                <w:bCs/>
                <w:color w:val="000000" w:themeColor="text1"/>
                <w:sz w:val="28"/>
                <w:szCs w:val="28"/>
                <w:lang w:eastAsia="zh-CN"/>
              </w:rPr>
              <w:t>迄今</w:t>
            </w:r>
            <w:r w:rsidR="00A76796" w:rsidRPr="00B163CC">
              <w:rPr>
                <w:rFonts w:ascii="Times New Roman" w:eastAsia="標楷體" w:hAnsi="Times New Roman"/>
                <w:bCs/>
                <w:color w:val="000000" w:themeColor="text1"/>
                <w:sz w:val="28"/>
                <w:szCs w:val="28"/>
                <w:lang w:eastAsia="zh-CN"/>
              </w:rPr>
              <w:t>仍</w:t>
            </w:r>
            <w:r w:rsidR="0090160B" w:rsidRPr="00B163CC">
              <w:rPr>
                <w:rFonts w:ascii="Times New Roman" w:eastAsia="標楷體" w:hAnsi="Times New Roman"/>
                <w:bCs/>
                <w:color w:val="000000" w:themeColor="text1"/>
                <w:sz w:val="28"/>
                <w:szCs w:val="28"/>
                <w:lang w:eastAsia="zh-CN"/>
              </w:rPr>
              <w:t>持續</w:t>
            </w:r>
            <w:r w:rsidR="00CD3D61" w:rsidRPr="00B163CC">
              <w:rPr>
                <w:rFonts w:ascii="Times New Roman" w:eastAsia="標楷體" w:hAnsi="Times New Roman"/>
                <w:bCs/>
                <w:color w:val="000000" w:themeColor="text1"/>
                <w:sz w:val="28"/>
                <w:szCs w:val="28"/>
                <w:lang w:eastAsia="zh-CN"/>
              </w:rPr>
              <w:t>衰退</w:t>
            </w:r>
            <w:r w:rsidR="00296DFE" w:rsidRPr="00B163CC">
              <w:rPr>
                <w:rFonts w:ascii="Times New Roman" w:eastAsia="標楷體" w:hAnsi="Times New Roman"/>
                <w:bCs/>
                <w:color w:val="000000" w:themeColor="text1"/>
                <w:sz w:val="28"/>
                <w:szCs w:val="28"/>
                <w:lang w:eastAsia="zh-CN"/>
              </w:rPr>
              <w:t>中，</w:t>
            </w:r>
            <w:r w:rsidR="00315EB6" w:rsidRPr="00B163CC">
              <w:rPr>
                <w:rFonts w:ascii="Times New Roman" w:eastAsia="標楷體" w:hAnsi="Times New Roman"/>
                <w:bCs/>
                <w:color w:val="000000" w:themeColor="text1"/>
                <w:sz w:val="28"/>
                <w:szCs w:val="28"/>
                <w:lang w:eastAsia="zh-CN"/>
              </w:rPr>
              <w:t>應是</w:t>
            </w:r>
            <w:r w:rsidR="0066529D" w:rsidRPr="00B163CC">
              <w:rPr>
                <w:rFonts w:ascii="Times New Roman" w:eastAsia="標楷體" w:hAnsi="Times New Roman"/>
                <w:bCs/>
                <w:color w:val="000000" w:themeColor="text1"/>
                <w:sz w:val="28"/>
                <w:szCs w:val="28"/>
                <w:lang w:eastAsia="zh-CN"/>
              </w:rPr>
              <w:t>受</w:t>
            </w:r>
            <w:r w:rsidR="00D410D2" w:rsidRPr="00B163CC">
              <w:rPr>
                <w:rFonts w:ascii="Times New Roman" w:eastAsia="標楷體" w:hAnsi="Times New Roman"/>
                <w:bCs/>
                <w:color w:val="000000" w:themeColor="text1"/>
                <w:sz w:val="28"/>
                <w:szCs w:val="28"/>
                <w:lang w:eastAsia="zh-CN"/>
              </w:rPr>
              <w:t>較長波期的「建築循環」</w:t>
            </w:r>
            <w:r w:rsidR="0066529D" w:rsidRPr="00B163CC">
              <w:rPr>
                <w:rFonts w:ascii="Times New Roman" w:eastAsia="標楷體" w:hAnsi="Times New Roman"/>
                <w:bCs/>
                <w:color w:val="000000" w:themeColor="text1"/>
                <w:sz w:val="28"/>
                <w:szCs w:val="28"/>
                <w:lang w:eastAsia="zh-CN"/>
              </w:rPr>
              <w:t>下降期影響</w:t>
            </w:r>
            <w:r w:rsidR="00BE7C8D" w:rsidRPr="00B163CC">
              <w:rPr>
                <w:rFonts w:ascii="Times New Roman" w:eastAsia="標楷體" w:hAnsi="Times New Roman"/>
                <w:bCs/>
                <w:color w:val="000000" w:themeColor="text1"/>
                <w:sz w:val="28"/>
                <w:szCs w:val="28"/>
                <w:lang w:eastAsia="zh-CN"/>
              </w:rPr>
              <w:t>所致。</w:t>
            </w:r>
          </w:p>
          <w:p w14:paraId="33731D62" w14:textId="7BCBC1F4" w:rsidR="00B05F93" w:rsidRPr="00B163CC" w:rsidRDefault="00652DC1" w:rsidP="00284B00">
            <w:pPr>
              <w:pStyle w:val="a3"/>
              <w:numPr>
                <w:ilvl w:val="0"/>
                <w:numId w:val="10"/>
              </w:numPr>
              <w:adjustRightInd w:val="0"/>
              <w:ind w:leftChars="0"/>
              <w:rPr>
                <w:rFonts w:ascii="Times New Roman" w:eastAsia="標楷體" w:hAnsi="Times New Roman"/>
                <w:bCs/>
                <w:color w:val="000000" w:themeColor="text1"/>
                <w:sz w:val="28"/>
                <w:szCs w:val="28"/>
                <w:lang w:eastAsia="zh-CN"/>
              </w:rPr>
            </w:pPr>
            <w:r w:rsidRPr="00B163CC">
              <w:rPr>
                <w:rFonts w:ascii="Times New Roman" w:eastAsia="標楷體" w:hAnsi="Times New Roman"/>
                <w:bCs/>
                <w:color w:val="000000" w:themeColor="text1"/>
                <w:sz w:val="28"/>
                <w:szCs w:val="28"/>
                <w:lang w:eastAsia="zh-CN"/>
              </w:rPr>
              <w:t>住宅服務、水電瓦斯及</w:t>
            </w:r>
            <w:r w:rsidR="003315B7" w:rsidRPr="00B163CC">
              <w:rPr>
                <w:rFonts w:ascii="Times New Roman" w:eastAsia="標楷體" w:hAnsi="Times New Roman"/>
                <w:bCs/>
                <w:color w:val="000000" w:themeColor="text1"/>
                <w:sz w:val="28"/>
                <w:szCs w:val="28"/>
                <w:lang w:eastAsia="zh-CN"/>
              </w:rPr>
              <w:t>其他燃料實質消費</w:t>
            </w:r>
            <w:r w:rsidR="0096295F" w:rsidRPr="00B163CC">
              <w:rPr>
                <w:rFonts w:ascii="Times New Roman" w:eastAsia="標楷體" w:hAnsi="Times New Roman"/>
                <w:bCs/>
                <w:color w:val="000000" w:themeColor="text1"/>
                <w:sz w:val="28"/>
                <w:szCs w:val="28"/>
                <w:lang w:eastAsia="zh-CN"/>
              </w:rPr>
              <w:t>金額</w:t>
            </w:r>
            <w:r w:rsidR="00A70A3E" w:rsidRPr="00B163CC">
              <w:rPr>
                <w:rFonts w:ascii="Times New Roman" w:eastAsia="標楷體" w:hAnsi="Times New Roman"/>
                <w:bCs/>
                <w:color w:val="000000" w:themeColor="text1"/>
                <w:sz w:val="28"/>
                <w:szCs w:val="28"/>
                <w:lang w:eastAsia="zh-CN"/>
              </w:rPr>
              <w:t>規模比金融</w:t>
            </w:r>
            <w:r w:rsidR="00E657D1" w:rsidRPr="00B163CC">
              <w:rPr>
                <w:rFonts w:ascii="Times New Roman" w:eastAsia="標楷體" w:hAnsi="Times New Roman"/>
                <w:bCs/>
                <w:color w:val="000000" w:themeColor="text1"/>
                <w:sz w:val="28"/>
                <w:szCs w:val="28"/>
                <w:lang w:eastAsia="zh-CN"/>
              </w:rPr>
              <w:t>保險業大</w:t>
            </w:r>
            <w:r w:rsidR="001F3C25" w:rsidRPr="00B163CC">
              <w:rPr>
                <w:rFonts w:ascii="Times New Roman" w:eastAsia="標楷體" w:hAnsi="Times New Roman"/>
                <w:bCs/>
                <w:color w:val="000000" w:themeColor="text1"/>
                <w:sz w:val="28"/>
                <w:szCs w:val="28"/>
                <w:lang w:eastAsia="zh-CN"/>
              </w:rPr>
              <w:t>3</w:t>
            </w:r>
            <w:r w:rsidR="001F3C25" w:rsidRPr="00B163CC">
              <w:rPr>
                <w:rFonts w:ascii="Times New Roman" w:eastAsia="標楷體" w:hAnsi="Times New Roman"/>
                <w:bCs/>
                <w:color w:val="000000" w:themeColor="text1"/>
                <w:sz w:val="28"/>
                <w:szCs w:val="28"/>
                <w:lang w:eastAsia="zh-CN"/>
              </w:rPr>
              <w:t>成</w:t>
            </w:r>
            <w:r w:rsidR="001F3C25" w:rsidRPr="00B163CC">
              <w:rPr>
                <w:rFonts w:ascii="Times New Roman" w:eastAsia="標楷體" w:hAnsi="Times New Roman"/>
                <w:bCs/>
                <w:color w:val="000000" w:themeColor="text1"/>
                <w:sz w:val="28"/>
                <w:szCs w:val="28"/>
                <w:lang w:eastAsia="zh-CN"/>
              </w:rPr>
              <w:t>5</w:t>
            </w:r>
            <w:r w:rsidR="001F3C25" w:rsidRPr="00B163CC">
              <w:rPr>
                <w:rFonts w:ascii="Times New Roman" w:eastAsia="標楷體" w:hAnsi="Times New Roman"/>
                <w:bCs/>
                <w:color w:val="000000" w:themeColor="text1"/>
                <w:sz w:val="28"/>
                <w:szCs w:val="28"/>
                <w:lang w:eastAsia="zh-CN"/>
              </w:rPr>
              <w:t>，其</w:t>
            </w:r>
            <w:r w:rsidR="003315B7" w:rsidRPr="00B163CC">
              <w:rPr>
                <w:rFonts w:ascii="Times New Roman" w:eastAsia="標楷體" w:hAnsi="Times New Roman"/>
                <w:bCs/>
                <w:color w:val="000000" w:themeColor="text1"/>
                <w:sz w:val="28"/>
                <w:szCs w:val="28"/>
                <w:lang w:eastAsia="zh-CN"/>
              </w:rPr>
              <w:t>循環指數</w:t>
            </w:r>
            <w:r w:rsidR="000C3A11" w:rsidRPr="00B163CC">
              <w:rPr>
                <w:rFonts w:ascii="Times New Roman" w:eastAsia="標楷體" w:hAnsi="Times New Roman"/>
                <w:bCs/>
                <w:color w:val="000000" w:themeColor="text1"/>
                <w:sz w:val="28"/>
                <w:szCs w:val="28"/>
                <w:lang w:eastAsia="zh-CN"/>
              </w:rPr>
              <w:t>遲</w:t>
            </w:r>
            <w:r w:rsidR="00B02818" w:rsidRPr="00B163CC">
              <w:rPr>
                <w:rFonts w:ascii="Times New Roman" w:eastAsia="標楷體" w:hAnsi="Times New Roman"/>
                <w:bCs/>
                <w:color w:val="000000" w:themeColor="text1"/>
                <w:sz w:val="28"/>
                <w:szCs w:val="28"/>
                <w:lang w:eastAsia="zh-CN"/>
              </w:rPr>
              <w:t>至</w:t>
            </w:r>
            <w:r w:rsidR="007372FC" w:rsidRPr="00B163CC">
              <w:rPr>
                <w:rFonts w:ascii="Times New Roman" w:eastAsia="標楷體" w:hAnsi="Times New Roman"/>
                <w:bCs/>
                <w:color w:val="000000" w:themeColor="text1"/>
                <w:sz w:val="28"/>
                <w:szCs w:val="28"/>
                <w:lang w:eastAsia="zh-CN"/>
              </w:rPr>
              <w:t>2017</w:t>
            </w:r>
            <w:r w:rsidR="007372FC" w:rsidRPr="00B163CC">
              <w:rPr>
                <w:rFonts w:ascii="Times New Roman" w:eastAsia="標楷體" w:hAnsi="Times New Roman"/>
                <w:bCs/>
                <w:color w:val="000000" w:themeColor="text1"/>
                <w:sz w:val="28"/>
                <w:szCs w:val="28"/>
                <w:lang w:eastAsia="zh-CN"/>
              </w:rPr>
              <w:t>年</w:t>
            </w:r>
            <w:r w:rsidR="007372FC" w:rsidRPr="00B163CC">
              <w:rPr>
                <w:rFonts w:ascii="Times New Roman" w:eastAsia="標楷體" w:hAnsi="Times New Roman"/>
                <w:bCs/>
                <w:color w:val="000000" w:themeColor="text1"/>
                <w:sz w:val="28"/>
                <w:szCs w:val="28"/>
                <w:lang w:eastAsia="zh-CN"/>
              </w:rPr>
              <w:t>12</w:t>
            </w:r>
            <w:r w:rsidR="007372FC" w:rsidRPr="00B163CC">
              <w:rPr>
                <w:rFonts w:ascii="Times New Roman" w:eastAsia="標楷體" w:hAnsi="Times New Roman"/>
                <w:bCs/>
                <w:color w:val="000000" w:themeColor="text1"/>
                <w:sz w:val="28"/>
                <w:szCs w:val="28"/>
                <w:lang w:eastAsia="zh-CN"/>
              </w:rPr>
              <w:t>月</w:t>
            </w:r>
            <w:r w:rsidR="00A0361F" w:rsidRPr="00B163CC">
              <w:rPr>
                <w:rFonts w:ascii="Times New Roman" w:eastAsia="標楷體" w:hAnsi="Times New Roman"/>
                <w:bCs/>
                <w:color w:val="000000" w:themeColor="text1"/>
                <w:sz w:val="28"/>
                <w:szCs w:val="28"/>
                <w:lang w:eastAsia="zh-CN"/>
              </w:rPr>
              <w:t>才出現</w:t>
            </w:r>
            <w:r w:rsidR="007372FC" w:rsidRPr="00B163CC">
              <w:rPr>
                <w:rFonts w:ascii="Times New Roman" w:eastAsia="標楷體" w:hAnsi="Times New Roman"/>
                <w:bCs/>
                <w:color w:val="000000" w:themeColor="text1"/>
                <w:sz w:val="28"/>
                <w:szCs w:val="28"/>
                <w:lang w:eastAsia="zh-CN"/>
              </w:rPr>
              <w:t>出現底谷</w:t>
            </w:r>
            <w:r w:rsidR="00886DAA" w:rsidRPr="00B163CC">
              <w:rPr>
                <w:rFonts w:ascii="Times New Roman" w:eastAsia="標楷體" w:hAnsi="Times New Roman"/>
                <w:bCs/>
                <w:color w:val="000000" w:themeColor="text1"/>
                <w:sz w:val="28"/>
                <w:szCs w:val="28"/>
                <w:lang w:eastAsia="zh-CN"/>
              </w:rPr>
              <w:t>，顯見</w:t>
            </w:r>
            <w:r w:rsidR="0019499E">
              <w:rPr>
                <w:rFonts w:ascii="Times New Roman" w:eastAsia="標楷體" w:hAnsi="Times New Roman" w:hint="eastAsia"/>
                <w:bCs/>
                <w:color w:val="000000" w:themeColor="text1"/>
                <w:sz w:val="28"/>
                <w:szCs w:val="28"/>
                <w:lang w:eastAsia="zh-CN"/>
              </w:rPr>
              <w:t>復甦</w:t>
            </w:r>
            <w:r w:rsidR="00C525DE" w:rsidRPr="00B163CC">
              <w:rPr>
                <w:rFonts w:ascii="Times New Roman" w:eastAsia="標楷體" w:hAnsi="Times New Roman"/>
                <w:bCs/>
                <w:color w:val="000000" w:themeColor="text1"/>
                <w:sz w:val="28"/>
                <w:szCs w:val="28"/>
                <w:lang w:eastAsia="zh-CN"/>
              </w:rPr>
              <w:t>來得</w:t>
            </w:r>
            <w:r w:rsidR="00B02818" w:rsidRPr="00B163CC">
              <w:rPr>
                <w:rFonts w:ascii="Times New Roman" w:eastAsia="標楷體" w:hAnsi="Times New Roman"/>
                <w:bCs/>
                <w:color w:val="000000" w:themeColor="text1"/>
                <w:sz w:val="28"/>
                <w:szCs w:val="28"/>
                <w:lang w:eastAsia="zh-CN"/>
              </w:rPr>
              <w:t>很</w:t>
            </w:r>
            <w:r w:rsidR="00B42E1C" w:rsidRPr="00B163CC">
              <w:rPr>
                <w:rFonts w:ascii="Times New Roman" w:eastAsia="標楷體" w:hAnsi="Times New Roman"/>
                <w:bCs/>
                <w:color w:val="000000" w:themeColor="text1"/>
                <w:sz w:val="28"/>
                <w:szCs w:val="28"/>
                <w:lang w:eastAsia="zh-CN"/>
              </w:rPr>
              <w:t>慢</w:t>
            </w:r>
            <w:r w:rsidR="00C6512A" w:rsidRPr="00B163CC">
              <w:rPr>
                <w:rFonts w:ascii="Times New Roman" w:eastAsia="標楷體" w:hAnsi="Times New Roman"/>
                <w:bCs/>
                <w:color w:val="000000" w:themeColor="text1"/>
                <w:sz w:val="28"/>
                <w:szCs w:val="28"/>
                <w:lang w:eastAsia="zh-CN"/>
              </w:rPr>
              <w:t>，</w:t>
            </w:r>
            <w:r w:rsidR="00B02818" w:rsidRPr="00B163CC">
              <w:rPr>
                <w:rFonts w:ascii="Times New Roman" w:eastAsia="標楷體" w:hAnsi="Times New Roman"/>
                <w:bCs/>
                <w:color w:val="000000" w:themeColor="text1"/>
                <w:sz w:val="28"/>
                <w:szCs w:val="28"/>
                <w:lang w:eastAsia="zh-CN"/>
              </w:rPr>
              <w:t>而且</w:t>
            </w:r>
            <w:r w:rsidR="00205425" w:rsidRPr="00B163CC">
              <w:rPr>
                <w:rFonts w:ascii="Times New Roman" w:eastAsia="標楷體" w:hAnsi="Times New Roman"/>
                <w:bCs/>
                <w:color w:val="000000" w:themeColor="text1"/>
                <w:sz w:val="28"/>
                <w:szCs w:val="28"/>
                <w:lang w:eastAsia="zh-CN"/>
              </w:rPr>
              <w:t>循環指數</w:t>
            </w:r>
            <w:r w:rsidR="0079234F" w:rsidRPr="00B163CC">
              <w:rPr>
                <w:rFonts w:ascii="Times New Roman" w:eastAsia="標楷體" w:hAnsi="Times New Roman"/>
                <w:bCs/>
                <w:color w:val="000000" w:themeColor="text1"/>
                <w:sz w:val="28"/>
                <w:szCs w:val="28"/>
                <w:lang w:eastAsia="zh-CN"/>
              </w:rPr>
              <w:t>的高峰與底谷落差並不</w:t>
            </w:r>
            <w:r w:rsidR="00F06306" w:rsidRPr="00B163CC">
              <w:rPr>
                <w:rFonts w:ascii="Times New Roman" w:eastAsia="標楷體" w:hAnsi="Times New Roman"/>
                <w:bCs/>
                <w:color w:val="000000" w:themeColor="text1"/>
                <w:sz w:val="28"/>
                <w:szCs w:val="28"/>
                <w:lang w:eastAsia="zh-CN"/>
              </w:rPr>
              <w:t>大</w:t>
            </w:r>
            <w:r w:rsidR="00D838B7" w:rsidRPr="00B163CC">
              <w:rPr>
                <w:rFonts w:ascii="Times New Roman" w:eastAsia="標楷體" w:hAnsi="Times New Roman"/>
                <w:bCs/>
                <w:color w:val="000000" w:themeColor="text1"/>
                <w:sz w:val="28"/>
                <w:szCs w:val="28"/>
                <w:lang w:eastAsia="zh-CN"/>
              </w:rPr>
              <w:t>，顯見波動幅度</w:t>
            </w:r>
            <w:r w:rsidR="006E49A8" w:rsidRPr="00B163CC">
              <w:rPr>
                <w:rFonts w:ascii="Times New Roman" w:eastAsia="標楷體" w:hAnsi="Times New Roman"/>
                <w:bCs/>
                <w:color w:val="000000" w:themeColor="text1"/>
                <w:sz w:val="28"/>
                <w:szCs w:val="28"/>
                <w:lang w:eastAsia="zh-CN"/>
              </w:rPr>
              <w:t>屬於</w:t>
            </w:r>
            <w:r w:rsidR="007F0786" w:rsidRPr="00B163CC">
              <w:rPr>
                <w:rFonts w:ascii="Times New Roman" w:eastAsia="標楷體" w:hAnsi="Times New Roman"/>
                <w:bCs/>
                <w:color w:val="000000" w:themeColor="text1"/>
                <w:sz w:val="28"/>
                <w:szCs w:val="28"/>
                <w:lang w:eastAsia="zh-CN"/>
              </w:rPr>
              <w:t>較小者</w:t>
            </w:r>
            <w:r w:rsidR="00F06306" w:rsidRPr="00B163CC">
              <w:rPr>
                <w:rFonts w:ascii="Times New Roman" w:eastAsia="標楷體" w:hAnsi="Times New Roman"/>
                <w:bCs/>
                <w:color w:val="000000" w:themeColor="text1"/>
                <w:sz w:val="28"/>
                <w:szCs w:val="28"/>
                <w:lang w:eastAsia="zh-CN"/>
              </w:rPr>
              <w:t>。</w:t>
            </w:r>
            <w:r w:rsidR="00130F2B" w:rsidRPr="00B163CC">
              <w:rPr>
                <w:rFonts w:ascii="Times New Roman" w:eastAsia="標楷體" w:hAnsi="Times New Roman"/>
                <w:bCs/>
                <w:color w:val="000000" w:themeColor="text1"/>
                <w:sz w:val="28"/>
                <w:szCs w:val="28"/>
                <w:lang w:eastAsia="zh-CN"/>
              </w:rPr>
              <w:t>2016</w:t>
            </w:r>
            <w:r w:rsidR="00130F2B" w:rsidRPr="00B163CC">
              <w:rPr>
                <w:rFonts w:ascii="Times New Roman" w:eastAsia="標楷體" w:hAnsi="Times New Roman"/>
                <w:bCs/>
                <w:color w:val="000000" w:themeColor="text1"/>
                <w:sz w:val="28"/>
                <w:szCs w:val="28"/>
                <w:lang w:eastAsia="zh-CN"/>
              </w:rPr>
              <w:t>與</w:t>
            </w:r>
            <w:r w:rsidR="00130F2B" w:rsidRPr="00B163CC">
              <w:rPr>
                <w:rFonts w:ascii="Times New Roman" w:eastAsia="標楷體" w:hAnsi="Times New Roman"/>
                <w:bCs/>
                <w:color w:val="000000" w:themeColor="text1"/>
                <w:sz w:val="28"/>
                <w:szCs w:val="28"/>
                <w:lang w:eastAsia="zh-CN"/>
              </w:rPr>
              <w:t>2017</w:t>
            </w:r>
            <w:r w:rsidR="00130F2B" w:rsidRPr="00B163CC">
              <w:rPr>
                <w:rFonts w:ascii="Times New Roman" w:eastAsia="標楷體" w:hAnsi="Times New Roman"/>
                <w:bCs/>
                <w:color w:val="000000" w:themeColor="text1"/>
                <w:sz w:val="28"/>
                <w:szCs w:val="28"/>
                <w:lang w:eastAsia="zh-CN"/>
              </w:rPr>
              <w:lastRenderedPageBreak/>
              <w:t>年成長</w:t>
            </w:r>
            <w:r w:rsidR="00E65574" w:rsidRPr="00B163CC">
              <w:rPr>
                <w:rFonts w:ascii="Times New Roman" w:eastAsia="標楷體" w:hAnsi="Times New Roman"/>
                <w:bCs/>
                <w:color w:val="000000" w:themeColor="text1"/>
                <w:sz w:val="28"/>
                <w:szCs w:val="28"/>
                <w:lang w:eastAsia="zh-CN"/>
              </w:rPr>
              <w:t>率分別為</w:t>
            </w:r>
            <w:r w:rsidR="00E65574" w:rsidRPr="00B163CC">
              <w:rPr>
                <w:rFonts w:ascii="Times New Roman" w:eastAsia="標楷體" w:hAnsi="Times New Roman"/>
                <w:bCs/>
                <w:color w:val="000000" w:themeColor="text1"/>
                <w:sz w:val="28"/>
                <w:szCs w:val="28"/>
                <w:lang w:eastAsia="zh-CN"/>
              </w:rPr>
              <w:t>1.6%</w:t>
            </w:r>
            <w:r w:rsidR="00E65574" w:rsidRPr="00B163CC">
              <w:rPr>
                <w:rFonts w:ascii="Times New Roman" w:eastAsia="標楷體" w:hAnsi="Times New Roman"/>
                <w:bCs/>
                <w:color w:val="000000" w:themeColor="text1"/>
                <w:sz w:val="28"/>
                <w:szCs w:val="28"/>
                <w:lang w:eastAsia="zh-CN"/>
              </w:rPr>
              <w:t>及</w:t>
            </w:r>
            <w:r w:rsidR="00E65574" w:rsidRPr="00B163CC">
              <w:rPr>
                <w:rFonts w:ascii="Times New Roman" w:eastAsia="標楷體" w:hAnsi="Times New Roman"/>
                <w:bCs/>
                <w:color w:val="000000" w:themeColor="text1"/>
                <w:sz w:val="28"/>
                <w:szCs w:val="28"/>
                <w:lang w:eastAsia="zh-CN"/>
              </w:rPr>
              <w:t>1.2%</w:t>
            </w:r>
            <w:r w:rsidR="00B71EA7" w:rsidRPr="00B163CC">
              <w:rPr>
                <w:rFonts w:ascii="Times New Roman" w:eastAsia="標楷體" w:hAnsi="Times New Roman"/>
                <w:sz w:val="28"/>
                <w:szCs w:val="28"/>
                <w:lang w:eastAsia="zh-CN"/>
              </w:rPr>
              <w:t>，</w:t>
            </w:r>
            <w:r w:rsidR="00834235" w:rsidRPr="00B163CC">
              <w:rPr>
                <w:rFonts w:ascii="Times New Roman" w:eastAsia="標楷體" w:hAnsi="Times New Roman"/>
                <w:bCs/>
                <w:color w:val="000000" w:themeColor="text1"/>
                <w:sz w:val="28"/>
                <w:szCs w:val="28"/>
                <w:lang w:eastAsia="zh-CN"/>
              </w:rPr>
              <w:t>今年第一季</w:t>
            </w:r>
            <w:r w:rsidR="006458B5" w:rsidRPr="00B163CC">
              <w:rPr>
                <w:rFonts w:ascii="Times New Roman" w:eastAsia="標楷體" w:hAnsi="Times New Roman"/>
                <w:bCs/>
                <w:color w:val="000000" w:themeColor="text1"/>
                <w:sz w:val="28"/>
                <w:szCs w:val="28"/>
                <w:lang w:eastAsia="zh-CN"/>
              </w:rPr>
              <w:t>才</w:t>
            </w:r>
            <w:r w:rsidR="006C111F" w:rsidRPr="00B163CC">
              <w:rPr>
                <w:rFonts w:ascii="Times New Roman" w:eastAsia="標楷體" w:hAnsi="Times New Roman"/>
                <w:bCs/>
                <w:color w:val="000000" w:themeColor="text1"/>
                <w:sz w:val="28"/>
                <w:szCs w:val="28"/>
                <w:lang w:eastAsia="zh-CN"/>
              </w:rPr>
              <w:t>開始</w:t>
            </w:r>
            <w:r w:rsidR="0019499E">
              <w:rPr>
                <w:rFonts w:ascii="Times New Roman" w:eastAsia="標楷體" w:hAnsi="Times New Roman" w:hint="eastAsia"/>
                <w:bCs/>
                <w:color w:val="000000" w:themeColor="text1"/>
                <w:sz w:val="28"/>
                <w:szCs w:val="28"/>
                <w:lang w:eastAsia="zh-CN"/>
              </w:rPr>
              <w:t>復甦</w:t>
            </w:r>
            <w:r w:rsidR="00946E75" w:rsidRPr="00B163CC">
              <w:rPr>
                <w:rFonts w:ascii="Times New Roman" w:eastAsia="標楷體" w:hAnsi="Times New Roman"/>
                <w:bCs/>
                <w:color w:val="000000" w:themeColor="text1"/>
                <w:sz w:val="28"/>
                <w:szCs w:val="28"/>
                <w:lang w:eastAsia="zh-CN"/>
              </w:rPr>
              <w:t>卻</w:t>
            </w:r>
            <w:r w:rsidR="006C111F" w:rsidRPr="00B163CC">
              <w:rPr>
                <w:rFonts w:ascii="Times New Roman" w:eastAsia="標楷體" w:hAnsi="Times New Roman"/>
                <w:bCs/>
                <w:color w:val="000000" w:themeColor="text1"/>
                <w:sz w:val="28"/>
                <w:szCs w:val="28"/>
                <w:lang w:eastAsia="zh-CN"/>
              </w:rPr>
              <w:t>立見</w:t>
            </w:r>
            <w:r w:rsidR="006C111F" w:rsidRPr="00B163CC">
              <w:rPr>
                <w:rFonts w:ascii="Times New Roman" w:eastAsia="標楷體" w:hAnsi="Times New Roman"/>
                <w:bCs/>
                <w:color w:val="000000" w:themeColor="text1"/>
                <w:sz w:val="28"/>
                <w:szCs w:val="28"/>
                <w:lang w:eastAsia="zh-CN"/>
              </w:rPr>
              <w:t>6.61%</w:t>
            </w:r>
            <w:r w:rsidR="006C111F" w:rsidRPr="00B163CC">
              <w:rPr>
                <w:rFonts w:ascii="Times New Roman" w:eastAsia="標楷體" w:hAnsi="Times New Roman"/>
                <w:bCs/>
                <w:color w:val="000000" w:themeColor="text1"/>
                <w:sz w:val="28"/>
                <w:szCs w:val="28"/>
                <w:lang w:eastAsia="zh-CN"/>
              </w:rPr>
              <w:t>的</w:t>
            </w:r>
            <w:r w:rsidR="006467CC" w:rsidRPr="00B163CC">
              <w:rPr>
                <w:rFonts w:ascii="Times New Roman" w:eastAsia="標楷體" w:hAnsi="Times New Roman"/>
                <w:bCs/>
                <w:color w:val="000000" w:themeColor="text1"/>
                <w:sz w:val="28"/>
                <w:szCs w:val="28"/>
                <w:lang w:eastAsia="zh-CN"/>
              </w:rPr>
              <w:t>明快</w:t>
            </w:r>
            <w:r w:rsidR="006458B5" w:rsidRPr="00B163CC">
              <w:rPr>
                <w:rFonts w:ascii="Times New Roman" w:eastAsia="標楷體" w:hAnsi="Times New Roman"/>
                <w:bCs/>
                <w:color w:val="000000" w:themeColor="text1"/>
                <w:sz w:val="28"/>
                <w:szCs w:val="28"/>
                <w:lang w:eastAsia="zh-CN"/>
              </w:rPr>
              <w:t>成長。</w:t>
            </w:r>
            <w:r w:rsidR="005F7204" w:rsidRPr="00B163CC">
              <w:rPr>
                <w:rFonts w:ascii="Times New Roman" w:eastAsia="標楷體" w:hAnsi="Times New Roman"/>
                <w:bCs/>
                <w:color w:val="000000" w:themeColor="text1"/>
                <w:sz w:val="28"/>
                <w:szCs w:val="28"/>
                <w:lang w:eastAsia="zh-CN"/>
              </w:rPr>
              <w:t>此一部門</w:t>
            </w:r>
            <w:r w:rsidR="000E738E" w:rsidRPr="00B163CC">
              <w:rPr>
                <w:rFonts w:ascii="Times New Roman" w:eastAsia="標楷體" w:hAnsi="Times New Roman"/>
                <w:bCs/>
                <w:color w:val="000000" w:themeColor="text1"/>
                <w:sz w:val="28"/>
                <w:szCs w:val="28"/>
                <w:lang w:eastAsia="zh-CN"/>
              </w:rPr>
              <w:t>大</w:t>
            </w:r>
            <w:r w:rsidR="00715EB8" w:rsidRPr="00B163CC">
              <w:rPr>
                <w:rFonts w:ascii="Times New Roman" w:eastAsia="標楷體" w:hAnsi="Times New Roman"/>
                <w:bCs/>
                <w:color w:val="000000" w:themeColor="text1"/>
                <w:sz w:val="28"/>
                <w:szCs w:val="28"/>
                <w:lang w:eastAsia="zh-CN"/>
              </w:rPr>
              <w:t>部分涉及國營公</w:t>
            </w:r>
            <w:r w:rsidR="000E738E" w:rsidRPr="00B163CC">
              <w:rPr>
                <w:rFonts w:ascii="Times New Roman" w:eastAsia="標楷體" w:hAnsi="Times New Roman"/>
                <w:bCs/>
                <w:color w:val="000000" w:themeColor="text1"/>
                <w:sz w:val="28"/>
                <w:szCs w:val="28"/>
                <w:lang w:eastAsia="zh-CN"/>
              </w:rPr>
              <w:t>用事業產銷政策</w:t>
            </w:r>
            <w:r w:rsidR="00C53AFD" w:rsidRPr="00B163CC">
              <w:rPr>
                <w:rFonts w:ascii="Times New Roman" w:eastAsia="標楷體" w:hAnsi="Times New Roman"/>
                <w:bCs/>
                <w:color w:val="000000" w:themeColor="text1"/>
                <w:sz w:val="28"/>
                <w:szCs w:val="28"/>
                <w:lang w:eastAsia="zh-CN"/>
              </w:rPr>
              <w:t>，應有較大的政策作為空間，宜</w:t>
            </w:r>
            <w:r w:rsidR="00F01DED" w:rsidRPr="00B163CC">
              <w:rPr>
                <w:rFonts w:ascii="Times New Roman" w:eastAsia="標楷體" w:hAnsi="Times New Roman"/>
                <w:bCs/>
                <w:color w:val="000000" w:themeColor="text1"/>
                <w:sz w:val="28"/>
                <w:szCs w:val="28"/>
                <w:lang w:eastAsia="zh-CN"/>
              </w:rPr>
              <w:t>以景氣抗衰思考相關決策。</w:t>
            </w:r>
          </w:p>
          <w:p w14:paraId="0295AAA8" w14:textId="396CD500" w:rsidR="00EA01E3" w:rsidRPr="00B163CC" w:rsidRDefault="00EA01E3" w:rsidP="00284B00">
            <w:pPr>
              <w:pStyle w:val="a3"/>
              <w:numPr>
                <w:ilvl w:val="0"/>
                <w:numId w:val="10"/>
              </w:numPr>
              <w:adjustRightInd w:val="0"/>
              <w:ind w:leftChars="0"/>
              <w:rPr>
                <w:rFonts w:ascii="Times New Roman" w:eastAsia="標楷體" w:hAnsi="Times New Roman"/>
                <w:bCs/>
                <w:color w:val="000000" w:themeColor="text1"/>
                <w:sz w:val="28"/>
                <w:szCs w:val="28"/>
                <w:lang w:eastAsia="zh-CN"/>
              </w:rPr>
            </w:pPr>
            <w:r w:rsidRPr="00B163CC">
              <w:rPr>
                <w:rFonts w:ascii="Times New Roman" w:eastAsia="標楷體" w:hAnsi="Times New Roman"/>
                <w:bCs/>
                <w:color w:val="000000" w:themeColor="text1"/>
                <w:sz w:val="28"/>
                <w:szCs w:val="28"/>
                <w:lang w:eastAsia="zh-CN"/>
              </w:rPr>
              <w:t>服務業受雇員工</w:t>
            </w:r>
            <w:r w:rsidR="00321955" w:rsidRPr="00B163CC">
              <w:rPr>
                <w:rFonts w:ascii="Times New Roman" w:eastAsia="標楷體" w:hAnsi="Times New Roman"/>
                <w:bCs/>
                <w:color w:val="000000" w:themeColor="text1"/>
                <w:sz w:val="28"/>
                <w:szCs w:val="28"/>
                <w:lang w:eastAsia="zh-CN"/>
              </w:rPr>
              <w:t>人數循環指數於</w:t>
            </w:r>
            <w:r w:rsidR="00321955" w:rsidRPr="00B163CC">
              <w:rPr>
                <w:rFonts w:ascii="Times New Roman" w:eastAsia="標楷體" w:hAnsi="Times New Roman"/>
                <w:bCs/>
                <w:color w:val="000000" w:themeColor="text1"/>
                <w:sz w:val="28"/>
                <w:szCs w:val="28"/>
                <w:lang w:eastAsia="zh-CN"/>
              </w:rPr>
              <w:t>2017</w:t>
            </w:r>
            <w:r w:rsidR="00321955" w:rsidRPr="00B163CC">
              <w:rPr>
                <w:rFonts w:ascii="Times New Roman" w:eastAsia="標楷體" w:hAnsi="Times New Roman"/>
                <w:bCs/>
                <w:color w:val="000000" w:themeColor="text1"/>
                <w:sz w:val="28"/>
                <w:szCs w:val="28"/>
                <w:lang w:eastAsia="zh-CN"/>
              </w:rPr>
              <w:t>年</w:t>
            </w:r>
            <w:r w:rsidR="00321955" w:rsidRPr="00B163CC">
              <w:rPr>
                <w:rFonts w:ascii="Times New Roman" w:eastAsia="標楷體" w:hAnsi="Times New Roman"/>
                <w:bCs/>
                <w:color w:val="000000" w:themeColor="text1"/>
                <w:sz w:val="28"/>
                <w:szCs w:val="28"/>
                <w:lang w:eastAsia="zh-CN"/>
              </w:rPr>
              <w:t>10</w:t>
            </w:r>
            <w:r w:rsidR="00321955" w:rsidRPr="00B163CC">
              <w:rPr>
                <w:rFonts w:ascii="Times New Roman" w:eastAsia="標楷體" w:hAnsi="Times New Roman"/>
                <w:bCs/>
                <w:color w:val="000000" w:themeColor="text1"/>
                <w:sz w:val="28"/>
                <w:szCs w:val="28"/>
                <w:lang w:eastAsia="zh-CN"/>
              </w:rPr>
              <w:t>月</w:t>
            </w:r>
            <w:r w:rsidR="00FC6799" w:rsidRPr="00B163CC">
              <w:rPr>
                <w:rFonts w:ascii="Times New Roman" w:eastAsia="標楷體" w:hAnsi="Times New Roman"/>
                <w:bCs/>
                <w:color w:val="000000" w:themeColor="text1"/>
                <w:sz w:val="28"/>
                <w:szCs w:val="28"/>
                <w:lang w:eastAsia="zh-CN"/>
              </w:rPr>
              <w:t>出現底谷，但今</w:t>
            </w:r>
            <w:r w:rsidR="000D305E" w:rsidRPr="00B163CC">
              <w:rPr>
                <w:rFonts w:ascii="Times New Roman" w:eastAsia="標楷體" w:hAnsi="Times New Roman"/>
                <w:bCs/>
                <w:color w:val="000000" w:themeColor="text1"/>
                <w:sz w:val="28"/>
                <w:szCs w:val="28"/>
                <w:lang w:eastAsia="zh-CN"/>
              </w:rPr>
              <w:t>年</w:t>
            </w:r>
            <w:r w:rsidR="000D305E" w:rsidRPr="00B163CC">
              <w:rPr>
                <w:rFonts w:ascii="Times New Roman" w:eastAsia="標楷體" w:hAnsi="Times New Roman"/>
                <w:bCs/>
                <w:color w:val="000000" w:themeColor="text1"/>
                <w:sz w:val="28"/>
                <w:szCs w:val="28"/>
                <w:lang w:eastAsia="zh-CN"/>
              </w:rPr>
              <w:t>2</w:t>
            </w:r>
            <w:r w:rsidR="000D305E" w:rsidRPr="00B163CC">
              <w:rPr>
                <w:rFonts w:ascii="Times New Roman" w:eastAsia="標楷體" w:hAnsi="Times New Roman"/>
                <w:bCs/>
                <w:color w:val="000000" w:themeColor="text1"/>
                <w:sz w:val="28"/>
                <w:szCs w:val="28"/>
                <w:lang w:eastAsia="zh-CN"/>
              </w:rPr>
              <w:t>月</w:t>
            </w:r>
            <w:r w:rsidR="00C0638C" w:rsidRPr="00B163CC">
              <w:rPr>
                <w:rFonts w:ascii="Times New Roman" w:eastAsia="標楷體" w:hAnsi="Times New Roman"/>
                <w:bCs/>
                <w:color w:val="000000" w:themeColor="text1"/>
                <w:sz w:val="28"/>
                <w:szCs w:val="28"/>
                <w:lang w:eastAsia="zh-CN"/>
              </w:rPr>
              <w:t>卻</w:t>
            </w:r>
            <w:r w:rsidR="008A25F6" w:rsidRPr="00B163CC">
              <w:rPr>
                <w:rFonts w:ascii="Times New Roman" w:eastAsia="標楷體" w:hAnsi="Times New Roman"/>
                <w:bCs/>
                <w:color w:val="000000" w:themeColor="text1"/>
                <w:sz w:val="28"/>
                <w:szCs w:val="28"/>
                <w:lang w:eastAsia="zh-CN"/>
              </w:rPr>
              <w:t>又</w:t>
            </w:r>
            <w:r w:rsidR="000D305E" w:rsidRPr="00B163CC">
              <w:rPr>
                <w:rFonts w:ascii="Times New Roman" w:eastAsia="標楷體" w:hAnsi="Times New Roman"/>
                <w:bCs/>
                <w:color w:val="000000" w:themeColor="text1"/>
                <w:sz w:val="28"/>
                <w:szCs w:val="28"/>
                <w:lang w:eastAsia="zh-CN"/>
              </w:rPr>
              <w:t>碰頂</w:t>
            </w:r>
            <w:r w:rsidR="00EA3208" w:rsidRPr="00B163CC">
              <w:rPr>
                <w:rFonts w:ascii="Times New Roman" w:eastAsia="標楷體" w:hAnsi="Times New Roman"/>
                <w:bCs/>
                <w:color w:val="000000" w:themeColor="text1"/>
                <w:sz w:val="28"/>
                <w:szCs w:val="28"/>
                <w:lang w:eastAsia="zh-CN"/>
              </w:rPr>
              <w:t>轉降，屬</w:t>
            </w:r>
            <w:r w:rsidR="00446F67" w:rsidRPr="00B163CC">
              <w:rPr>
                <w:rFonts w:ascii="Times New Roman" w:eastAsia="標楷體" w:hAnsi="Times New Roman"/>
                <w:bCs/>
                <w:color w:val="000000" w:themeColor="text1"/>
                <w:sz w:val="28"/>
                <w:szCs w:val="28"/>
                <w:lang w:eastAsia="zh-CN"/>
              </w:rPr>
              <w:t>最不穩定的部門。</w:t>
            </w:r>
            <w:r w:rsidR="00F11F3E" w:rsidRPr="00B163CC">
              <w:rPr>
                <w:rFonts w:ascii="Times New Roman" w:eastAsia="標楷體" w:hAnsi="Times New Roman"/>
                <w:bCs/>
                <w:color w:val="000000" w:themeColor="text1"/>
                <w:sz w:val="28"/>
                <w:szCs w:val="28"/>
                <w:lang w:eastAsia="zh-CN"/>
              </w:rPr>
              <w:t>其循環指數</w:t>
            </w:r>
            <w:r w:rsidR="007F102E" w:rsidRPr="00B163CC">
              <w:rPr>
                <w:rFonts w:ascii="Times New Roman" w:eastAsia="標楷體" w:hAnsi="Times New Roman"/>
                <w:bCs/>
                <w:color w:val="000000" w:themeColor="text1"/>
                <w:sz w:val="28"/>
                <w:szCs w:val="28"/>
                <w:lang w:eastAsia="zh-CN"/>
              </w:rPr>
              <w:t>無論在高峰或底谷</w:t>
            </w:r>
            <w:r w:rsidR="00EC7AE5" w:rsidRPr="00B163CC">
              <w:rPr>
                <w:rFonts w:ascii="Times New Roman" w:eastAsia="標楷體" w:hAnsi="Times New Roman"/>
                <w:bCs/>
                <w:color w:val="000000" w:themeColor="text1"/>
                <w:sz w:val="28"/>
                <w:szCs w:val="28"/>
                <w:lang w:eastAsia="zh-CN"/>
              </w:rPr>
              <w:t>也一直低於本</w:t>
            </w:r>
            <w:r w:rsidR="006E077A" w:rsidRPr="00B163CC">
              <w:rPr>
                <w:rFonts w:ascii="Times New Roman" w:eastAsia="標楷體" w:hAnsi="Times New Roman"/>
                <w:bCs/>
                <w:color w:val="000000" w:themeColor="text1"/>
                <w:sz w:val="28"/>
                <w:szCs w:val="28"/>
                <w:lang w:eastAsia="zh-CN"/>
              </w:rPr>
              <w:t>身的長期趨勢值</w:t>
            </w:r>
            <w:r w:rsidR="0074020F" w:rsidRPr="00B163CC">
              <w:rPr>
                <w:rFonts w:ascii="Times New Roman" w:eastAsia="標楷體" w:hAnsi="Times New Roman"/>
                <w:bCs/>
                <w:color w:val="000000" w:themeColor="text1"/>
                <w:sz w:val="28"/>
                <w:szCs w:val="28"/>
                <w:lang w:eastAsia="zh-CN"/>
              </w:rPr>
              <w:t>。</w:t>
            </w:r>
            <w:r w:rsidR="00154DFA" w:rsidRPr="00B163CC">
              <w:rPr>
                <w:rFonts w:ascii="Times New Roman" w:eastAsia="標楷體" w:hAnsi="Times New Roman"/>
                <w:bCs/>
                <w:color w:val="000000" w:themeColor="text1"/>
                <w:sz w:val="28"/>
                <w:szCs w:val="28"/>
                <w:lang w:eastAsia="zh-CN"/>
              </w:rPr>
              <w:t>2016</w:t>
            </w:r>
            <w:r w:rsidR="00154DFA" w:rsidRPr="00B163CC">
              <w:rPr>
                <w:rFonts w:ascii="Times New Roman" w:eastAsia="標楷體" w:hAnsi="Times New Roman"/>
                <w:bCs/>
                <w:color w:val="000000" w:themeColor="text1"/>
                <w:sz w:val="28"/>
                <w:szCs w:val="28"/>
                <w:lang w:eastAsia="zh-CN"/>
              </w:rPr>
              <w:t>年</w:t>
            </w:r>
            <w:r w:rsidR="00E450BF" w:rsidRPr="00B163CC">
              <w:rPr>
                <w:rFonts w:ascii="Times New Roman" w:eastAsia="標楷體" w:hAnsi="Times New Roman"/>
                <w:bCs/>
                <w:color w:val="000000" w:themeColor="text1"/>
                <w:sz w:val="28"/>
                <w:szCs w:val="28"/>
                <w:lang w:eastAsia="zh-CN"/>
              </w:rPr>
              <w:t>、</w:t>
            </w:r>
            <w:r w:rsidR="00E450BF" w:rsidRPr="00B163CC">
              <w:rPr>
                <w:rFonts w:ascii="Times New Roman" w:eastAsia="標楷體" w:hAnsi="Times New Roman"/>
                <w:bCs/>
                <w:color w:val="000000" w:themeColor="text1"/>
                <w:sz w:val="28"/>
                <w:szCs w:val="28"/>
                <w:lang w:eastAsia="zh-CN"/>
              </w:rPr>
              <w:t>2017</w:t>
            </w:r>
            <w:r w:rsidR="00E450BF" w:rsidRPr="00B163CC">
              <w:rPr>
                <w:rFonts w:ascii="Times New Roman" w:eastAsia="標楷體" w:hAnsi="Times New Roman"/>
                <w:bCs/>
                <w:color w:val="000000" w:themeColor="text1"/>
                <w:sz w:val="28"/>
                <w:szCs w:val="28"/>
                <w:lang w:eastAsia="zh-CN"/>
              </w:rPr>
              <w:t>年及今年第一季</w:t>
            </w:r>
            <w:r w:rsidR="005C58EE" w:rsidRPr="00B163CC">
              <w:rPr>
                <w:rFonts w:ascii="Times New Roman" w:eastAsia="標楷體" w:hAnsi="Times New Roman"/>
                <w:bCs/>
                <w:color w:val="000000" w:themeColor="text1"/>
                <w:sz w:val="28"/>
                <w:szCs w:val="28"/>
                <w:lang w:eastAsia="zh-CN"/>
              </w:rPr>
              <w:t>年成長率分别</w:t>
            </w:r>
            <w:r w:rsidR="00AF296C" w:rsidRPr="00B163CC">
              <w:rPr>
                <w:rFonts w:ascii="Times New Roman" w:eastAsia="標楷體" w:hAnsi="Times New Roman"/>
                <w:bCs/>
                <w:color w:val="000000" w:themeColor="text1"/>
                <w:sz w:val="28"/>
                <w:szCs w:val="28"/>
                <w:lang w:eastAsia="zh-CN"/>
              </w:rPr>
              <w:t>只有</w:t>
            </w:r>
            <w:r w:rsidR="005C58EE" w:rsidRPr="00B163CC">
              <w:rPr>
                <w:rFonts w:ascii="Times New Roman" w:eastAsia="標楷體" w:hAnsi="Times New Roman"/>
                <w:bCs/>
                <w:color w:val="000000" w:themeColor="text1"/>
                <w:sz w:val="28"/>
                <w:szCs w:val="28"/>
                <w:lang w:eastAsia="zh-CN"/>
              </w:rPr>
              <w:t>1.37%</w:t>
            </w:r>
            <w:r w:rsidR="00B71EA7" w:rsidRPr="00B163CC">
              <w:rPr>
                <w:rFonts w:ascii="Times New Roman" w:eastAsia="標楷體" w:hAnsi="Times New Roman"/>
                <w:sz w:val="28"/>
                <w:szCs w:val="28"/>
                <w:lang w:eastAsia="zh-CN"/>
              </w:rPr>
              <w:t>，</w:t>
            </w:r>
            <w:r w:rsidR="009E4400" w:rsidRPr="00B163CC">
              <w:rPr>
                <w:rFonts w:ascii="Times New Roman" w:eastAsia="標楷體" w:hAnsi="Times New Roman"/>
                <w:bCs/>
                <w:color w:val="000000" w:themeColor="text1"/>
                <w:sz w:val="28"/>
                <w:szCs w:val="28"/>
                <w:lang w:eastAsia="zh-CN"/>
              </w:rPr>
              <w:t>1.70%</w:t>
            </w:r>
            <w:r w:rsidR="0016346F" w:rsidRPr="00B163CC">
              <w:rPr>
                <w:rFonts w:ascii="Times New Roman" w:eastAsia="標楷體" w:hAnsi="Times New Roman"/>
                <w:bCs/>
                <w:color w:val="000000" w:themeColor="text1"/>
                <w:sz w:val="28"/>
                <w:szCs w:val="28"/>
                <w:lang w:eastAsia="zh-CN"/>
              </w:rPr>
              <w:t>及</w:t>
            </w:r>
            <w:r w:rsidR="0016346F" w:rsidRPr="00B163CC">
              <w:rPr>
                <w:rFonts w:ascii="Times New Roman" w:eastAsia="標楷體" w:hAnsi="Times New Roman"/>
                <w:bCs/>
                <w:color w:val="000000" w:themeColor="text1"/>
                <w:sz w:val="28"/>
                <w:szCs w:val="28"/>
                <w:lang w:eastAsia="zh-CN"/>
              </w:rPr>
              <w:t>1.81%</w:t>
            </w:r>
            <w:r w:rsidR="00AF296C" w:rsidRPr="00B163CC">
              <w:rPr>
                <w:rFonts w:ascii="Times New Roman" w:eastAsia="標楷體" w:hAnsi="Times New Roman"/>
                <w:bCs/>
                <w:color w:val="000000" w:themeColor="text1"/>
                <w:sz w:val="28"/>
                <w:szCs w:val="28"/>
                <w:lang w:eastAsia="zh-CN"/>
              </w:rPr>
              <w:t>。</w:t>
            </w:r>
            <w:r w:rsidR="006E077A" w:rsidRPr="00B163CC">
              <w:rPr>
                <w:rFonts w:ascii="Times New Roman" w:eastAsia="標楷體" w:hAnsi="Times New Roman"/>
                <w:bCs/>
                <w:color w:val="000000" w:themeColor="text1"/>
                <w:sz w:val="28"/>
                <w:szCs w:val="28"/>
                <w:lang w:eastAsia="zh-CN"/>
              </w:rPr>
              <w:t>尤</w:t>
            </w:r>
            <w:r w:rsidR="00BD1840" w:rsidRPr="00B163CC">
              <w:rPr>
                <w:rFonts w:ascii="Times New Roman" w:eastAsia="標楷體" w:hAnsi="Times New Roman"/>
                <w:bCs/>
                <w:color w:val="000000" w:themeColor="text1"/>
                <w:sz w:val="28"/>
                <w:szCs w:val="28"/>
                <w:lang w:eastAsia="zh-CN"/>
              </w:rPr>
              <w:t>其</w:t>
            </w:r>
            <w:r w:rsidR="00451793" w:rsidRPr="00B163CC">
              <w:rPr>
                <w:rFonts w:ascii="Times New Roman" w:eastAsia="標楷體" w:hAnsi="Times New Roman"/>
                <w:bCs/>
                <w:color w:val="000000" w:themeColor="text1"/>
                <w:sz w:val="28"/>
                <w:szCs w:val="28"/>
                <w:lang w:eastAsia="zh-CN"/>
              </w:rPr>
              <w:t>它並非領先指標，</w:t>
            </w:r>
            <w:r w:rsidR="000B391B" w:rsidRPr="00B163CC">
              <w:rPr>
                <w:rFonts w:ascii="Times New Roman" w:eastAsia="標楷體" w:hAnsi="Times New Roman"/>
                <w:bCs/>
                <w:color w:val="000000" w:themeColor="text1"/>
                <w:sz w:val="28"/>
                <w:szCs w:val="28"/>
                <w:lang w:eastAsia="zh-CN"/>
              </w:rPr>
              <w:t>卻在</w:t>
            </w:r>
            <w:r w:rsidR="0019499E">
              <w:rPr>
                <w:rFonts w:ascii="Times New Roman" w:eastAsia="標楷體" w:hAnsi="Times New Roman" w:hint="eastAsia"/>
                <w:bCs/>
                <w:color w:val="000000" w:themeColor="text1"/>
                <w:sz w:val="28"/>
                <w:szCs w:val="28"/>
                <w:lang w:eastAsia="zh-CN"/>
              </w:rPr>
              <w:t>復甦</w:t>
            </w:r>
            <w:r w:rsidR="000B391B" w:rsidRPr="00B163CC">
              <w:rPr>
                <w:rFonts w:ascii="Times New Roman" w:eastAsia="標楷體" w:hAnsi="Times New Roman"/>
                <w:bCs/>
                <w:color w:val="000000" w:themeColor="text1"/>
                <w:sz w:val="28"/>
                <w:szCs w:val="28"/>
                <w:lang w:eastAsia="zh-CN"/>
              </w:rPr>
              <w:t>途中提早中挫</w:t>
            </w:r>
            <w:r w:rsidR="00F30E38" w:rsidRPr="00B163CC">
              <w:rPr>
                <w:rFonts w:ascii="Times New Roman" w:eastAsia="標楷體" w:hAnsi="Times New Roman"/>
                <w:bCs/>
                <w:color w:val="000000" w:themeColor="text1"/>
                <w:sz w:val="28"/>
                <w:szCs w:val="28"/>
                <w:lang w:eastAsia="zh-CN"/>
              </w:rPr>
              <w:t>，</w:t>
            </w:r>
            <w:r w:rsidR="00BD1840" w:rsidRPr="00B163CC">
              <w:rPr>
                <w:rFonts w:ascii="Times New Roman" w:eastAsia="標楷體" w:hAnsi="Times New Roman"/>
                <w:bCs/>
                <w:color w:val="000000" w:themeColor="text1"/>
                <w:sz w:val="28"/>
                <w:szCs w:val="28"/>
                <w:lang w:eastAsia="zh-CN"/>
              </w:rPr>
              <w:t>足見</w:t>
            </w:r>
            <w:r w:rsidR="00F30E38" w:rsidRPr="00B163CC">
              <w:rPr>
                <w:rFonts w:ascii="Times New Roman" w:eastAsia="標楷體" w:hAnsi="Times New Roman"/>
                <w:bCs/>
                <w:color w:val="000000" w:themeColor="text1"/>
                <w:sz w:val="28"/>
                <w:szCs w:val="28"/>
                <w:lang w:eastAsia="zh-CN"/>
              </w:rPr>
              <w:t>相關政策面應</w:t>
            </w:r>
            <w:r w:rsidR="005B2465" w:rsidRPr="00B163CC">
              <w:rPr>
                <w:rFonts w:ascii="Times New Roman" w:eastAsia="標楷體" w:hAnsi="Times New Roman"/>
                <w:bCs/>
                <w:color w:val="000000" w:themeColor="text1"/>
                <w:sz w:val="28"/>
                <w:szCs w:val="28"/>
                <w:lang w:eastAsia="zh-CN"/>
              </w:rPr>
              <w:t>有很大檢討</w:t>
            </w:r>
            <w:r w:rsidR="00BD1840" w:rsidRPr="00B163CC">
              <w:rPr>
                <w:rFonts w:ascii="Times New Roman" w:eastAsia="標楷體" w:hAnsi="Times New Roman"/>
                <w:bCs/>
                <w:color w:val="000000" w:themeColor="text1"/>
                <w:sz w:val="28"/>
                <w:szCs w:val="28"/>
                <w:lang w:eastAsia="zh-CN"/>
              </w:rPr>
              <w:t>空間</w:t>
            </w:r>
            <w:r w:rsidR="005B2465" w:rsidRPr="00B163CC">
              <w:rPr>
                <w:rFonts w:ascii="Times New Roman" w:eastAsia="標楷體" w:hAnsi="Times New Roman"/>
                <w:bCs/>
                <w:color w:val="000000" w:themeColor="text1"/>
                <w:sz w:val="28"/>
                <w:szCs w:val="28"/>
                <w:lang w:eastAsia="zh-CN"/>
              </w:rPr>
              <w:t>，</w:t>
            </w:r>
            <w:r w:rsidR="00861216" w:rsidRPr="00B163CC">
              <w:rPr>
                <w:rFonts w:ascii="Times New Roman" w:eastAsia="標楷體" w:hAnsi="Times New Roman"/>
                <w:bCs/>
                <w:color w:val="000000" w:themeColor="text1"/>
                <w:sz w:val="28"/>
                <w:szCs w:val="28"/>
                <w:lang w:eastAsia="zh-CN"/>
              </w:rPr>
              <w:t>就</w:t>
            </w:r>
            <w:r w:rsidR="006E1963" w:rsidRPr="00B163CC">
              <w:rPr>
                <w:rFonts w:ascii="Times New Roman" w:eastAsia="標楷體" w:hAnsi="Times New Roman"/>
                <w:bCs/>
                <w:color w:val="000000" w:themeColor="text1"/>
                <w:sz w:val="28"/>
                <w:szCs w:val="28"/>
                <w:lang w:eastAsia="zh-CN"/>
              </w:rPr>
              <w:t>勞動政策</w:t>
            </w:r>
            <w:r w:rsidR="00BC3DCD" w:rsidRPr="00B163CC">
              <w:rPr>
                <w:rFonts w:ascii="Times New Roman" w:eastAsia="標楷體" w:hAnsi="Times New Roman"/>
                <w:bCs/>
                <w:color w:val="000000" w:themeColor="text1"/>
                <w:sz w:val="28"/>
                <w:szCs w:val="28"/>
                <w:lang w:eastAsia="zh-CN"/>
              </w:rPr>
              <w:t>而言，</w:t>
            </w:r>
            <w:r w:rsidR="006E1963" w:rsidRPr="00B163CC">
              <w:rPr>
                <w:rFonts w:ascii="Times New Roman" w:eastAsia="標楷體" w:hAnsi="Times New Roman"/>
                <w:bCs/>
                <w:color w:val="000000" w:themeColor="text1"/>
                <w:sz w:val="28"/>
                <w:szCs w:val="28"/>
                <w:lang w:eastAsia="zh-CN"/>
              </w:rPr>
              <w:t>在</w:t>
            </w:r>
            <w:r w:rsidR="00E54D11" w:rsidRPr="00B163CC">
              <w:rPr>
                <w:rFonts w:ascii="Times New Roman" w:eastAsia="標楷體" w:hAnsi="Times New Roman"/>
                <w:bCs/>
                <w:color w:val="000000" w:themeColor="text1"/>
                <w:sz w:val="28"/>
                <w:szCs w:val="28"/>
                <w:lang w:eastAsia="zh-CN"/>
              </w:rPr>
              <w:t>「</w:t>
            </w:r>
            <w:r w:rsidR="006E1963" w:rsidRPr="00B163CC">
              <w:rPr>
                <w:rFonts w:ascii="Times New Roman" w:eastAsia="標楷體" w:hAnsi="Times New Roman"/>
                <w:bCs/>
                <w:color w:val="000000" w:themeColor="text1"/>
                <w:sz w:val="28"/>
                <w:szCs w:val="28"/>
                <w:lang w:eastAsia="zh-CN"/>
              </w:rPr>
              <w:t>一例一休</w:t>
            </w:r>
            <w:r w:rsidR="00D95BDB" w:rsidRPr="00B163CC">
              <w:rPr>
                <w:rFonts w:ascii="Times New Roman" w:eastAsia="標楷體" w:hAnsi="Times New Roman"/>
                <w:bCs/>
                <w:color w:val="000000" w:themeColor="text1"/>
                <w:sz w:val="28"/>
                <w:szCs w:val="28"/>
                <w:lang w:eastAsia="zh-CN"/>
              </w:rPr>
              <w:t>」</w:t>
            </w:r>
            <w:r w:rsidR="004E29D8" w:rsidRPr="00B163CC">
              <w:rPr>
                <w:rFonts w:ascii="Times New Roman" w:eastAsia="標楷體" w:hAnsi="Times New Roman"/>
                <w:bCs/>
                <w:color w:val="000000" w:themeColor="text1"/>
                <w:sz w:val="28"/>
                <w:szCs w:val="28"/>
                <w:lang w:eastAsia="zh-CN"/>
              </w:rPr>
              <w:t>產生動盪</w:t>
            </w:r>
            <w:r w:rsidR="00585F65" w:rsidRPr="00B163CC">
              <w:rPr>
                <w:rFonts w:ascii="Times New Roman" w:eastAsia="標楷體" w:hAnsi="Times New Roman"/>
                <w:bCs/>
                <w:color w:val="000000" w:themeColor="text1"/>
                <w:sz w:val="28"/>
                <w:szCs w:val="28"/>
                <w:lang w:eastAsia="zh-CN"/>
              </w:rPr>
              <w:t>之後，如何恢復</w:t>
            </w:r>
            <w:r w:rsidR="00537B42" w:rsidRPr="00B163CC">
              <w:rPr>
                <w:rFonts w:ascii="Times New Roman" w:eastAsia="標楷體" w:hAnsi="Times New Roman"/>
                <w:bCs/>
                <w:color w:val="000000" w:themeColor="text1"/>
                <w:sz w:val="28"/>
                <w:szCs w:val="28"/>
                <w:lang w:eastAsia="zh-CN"/>
              </w:rPr>
              <w:t>良好勞資關係</w:t>
            </w:r>
            <w:r w:rsidR="00437E25" w:rsidRPr="00B163CC">
              <w:rPr>
                <w:rFonts w:ascii="Times New Roman" w:eastAsia="標楷體" w:hAnsi="Times New Roman"/>
                <w:bCs/>
                <w:color w:val="000000" w:themeColor="text1"/>
                <w:sz w:val="28"/>
                <w:szCs w:val="28"/>
                <w:lang w:eastAsia="zh-CN"/>
              </w:rPr>
              <w:t>，</w:t>
            </w:r>
            <w:r w:rsidR="00537B42" w:rsidRPr="00B163CC">
              <w:rPr>
                <w:rFonts w:ascii="Times New Roman" w:eastAsia="標楷體" w:hAnsi="Times New Roman"/>
                <w:bCs/>
                <w:color w:val="000000" w:themeColor="text1"/>
                <w:sz w:val="28"/>
                <w:szCs w:val="28"/>
                <w:lang w:eastAsia="zh-CN"/>
              </w:rPr>
              <w:t>穩定</w:t>
            </w:r>
            <w:r w:rsidR="00046556" w:rsidRPr="00B163CC">
              <w:rPr>
                <w:rFonts w:ascii="Times New Roman" w:eastAsia="標楷體" w:hAnsi="Times New Roman"/>
                <w:bCs/>
                <w:color w:val="000000" w:themeColor="text1"/>
                <w:sz w:val="28"/>
                <w:szCs w:val="28"/>
                <w:lang w:eastAsia="zh-CN"/>
              </w:rPr>
              <w:t>就業條件與勞動市場秩序</w:t>
            </w:r>
            <w:r w:rsidR="007010FF" w:rsidRPr="00B163CC">
              <w:rPr>
                <w:rFonts w:ascii="Times New Roman" w:eastAsia="標楷體" w:hAnsi="Times New Roman"/>
                <w:bCs/>
                <w:color w:val="000000" w:themeColor="text1"/>
                <w:sz w:val="28"/>
                <w:szCs w:val="28"/>
                <w:lang w:eastAsia="zh-CN"/>
              </w:rPr>
              <w:t>，不單純是工資問題，</w:t>
            </w:r>
            <w:r w:rsidR="009108C3">
              <w:rPr>
                <w:rFonts w:ascii="Times New Roman" w:eastAsia="標楷體" w:hAnsi="Times New Roman" w:hint="eastAsia"/>
                <w:bCs/>
                <w:color w:val="000000" w:themeColor="text1"/>
                <w:sz w:val="28"/>
                <w:szCs w:val="28"/>
                <w:lang w:eastAsia="zh-CN"/>
              </w:rPr>
              <w:t>相關部門宜</w:t>
            </w:r>
            <w:r w:rsidR="00CB2E98" w:rsidRPr="00B163CC">
              <w:rPr>
                <w:rFonts w:ascii="Times New Roman" w:eastAsia="標楷體" w:hAnsi="Times New Roman"/>
                <w:bCs/>
                <w:color w:val="000000" w:themeColor="text1"/>
                <w:sz w:val="28"/>
                <w:szCs w:val="28"/>
                <w:lang w:eastAsia="zh-CN"/>
              </w:rPr>
              <w:t>協助</w:t>
            </w:r>
            <w:r w:rsidR="00C9490D" w:rsidRPr="00B163CC">
              <w:rPr>
                <w:rFonts w:ascii="Times New Roman" w:eastAsia="標楷體" w:hAnsi="Times New Roman"/>
                <w:bCs/>
                <w:color w:val="000000" w:themeColor="text1"/>
                <w:sz w:val="28"/>
                <w:szCs w:val="28"/>
                <w:lang w:eastAsia="zh-CN"/>
              </w:rPr>
              <w:t>改善</w:t>
            </w:r>
            <w:r w:rsidR="00031322" w:rsidRPr="00B163CC">
              <w:rPr>
                <w:rFonts w:ascii="Times New Roman" w:eastAsia="標楷體" w:hAnsi="Times New Roman"/>
                <w:bCs/>
                <w:color w:val="000000" w:themeColor="text1"/>
                <w:sz w:val="28"/>
                <w:szCs w:val="28"/>
                <w:lang w:eastAsia="zh-CN"/>
              </w:rPr>
              <w:t>。</w:t>
            </w:r>
          </w:p>
          <w:p w14:paraId="110A124F" w14:textId="046588B8" w:rsidR="00056013" w:rsidRPr="00B163CC" w:rsidRDefault="00477769" w:rsidP="000F79D3">
            <w:pPr>
              <w:adjustRightInd w:val="0"/>
              <w:ind w:firstLineChars="200" w:firstLine="561"/>
              <w:rPr>
                <w:rFonts w:ascii="Times New Roman" w:eastAsia="標楷體" w:hAnsi="Times New Roman" w:cs="Times New Roman"/>
                <w:b/>
                <w:color w:val="FF0000"/>
                <w:sz w:val="28"/>
                <w:szCs w:val="28"/>
                <w:lang w:eastAsia="zh-CN"/>
              </w:rPr>
            </w:pPr>
            <w:r w:rsidRPr="00B163CC">
              <w:rPr>
                <w:rFonts w:ascii="Times New Roman" w:eastAsia="標楷體" w:hAnsi="Times New Roman" w:cs="Times New Roman"/>
                <w:b/>
                <w:color w:val="FF0000"/>
                <w:sz w:val="28"/>
                <w:szCs w:val="28"/>
                <w:lang w:eastAsia="zh-CN"/>
              </w:rPr>
              <w:t>四</w:t>
            </w:r>
            <w:r w:rsidR="00B163CC">
              <w:rPr>
                <w:rFonts w:ascii="Times New Roman" w:eastAsia="標楷體" w:hAnsi="Times New Roman" w:cs="Times New Roman" w:hint="eastAsia"/>
                <w:b/>
                <w:color w:val="FF0000"/>
                <w:sz w:val="28"/>
                <w:szCs w:val="28"/>
                <w:lang w:eastAsia="zh-CN"/>
              </w:rPr>
              <w:t>、</w:t>
            </w:r>
            <w:r w:rsidR="000345BE" w:rsidRPr="00B163CC">
              <w:rPr>
                <w:rFonts w:ascii="Times New Roman" w:eastAsia="標楷體" w:hAnsi="Times New Roman" w:cs="Times New Roman"/>
                <w:b/>
                <w:color w:val="FF0000"/>
                <w:sz w:val="28"/>
                <w:szCs w:val="28"/>
                <w:lang w:eastAsia="zh-CN"/>
              </w:rPr>
              <w:t>拼景氣</w:t>
            </w:r>
            <w:r w:rsidR="000049AF" w:rsidRPr="00B163CC">
              <w:rPr>
                <w:rFonts w:ascii="Times New Roman" w:eastAsia="標楷體" w:hAnsi="Times New Roman" w:cs="Times New Roman"/>
                <w:b/>
                <w:color w:val="FF0000"/>
                <w:sz w:val="28"/>
                <w:szCs w:val="28"/>
                <w:lang w:eastAsia="zh-CN"/>
              </w:rPr>
              <w:t>更要拼結構轉型</w:t>
            </w:r>
          </w:p>
          <w:p w14:paraId="5406A06A" w14:textId="757B3C4A" w:rsidR="00EF4F15" w:rsidRPr="00633CF8" w:rsidRDefault="0014441D" w:rsidP="000F79D3">
            <w:pPr>
              <w:adjustRightInd w:val="0"/>
              <w:ind w:firstLineChars="200" w:firstLine="561"/>
              <w:rPr>
                <w:rFonts w:ascii="Times New Roman" w:eastAsia="標楷體" w:hAnsi="Times New Roman" w:cs="Times New Roman"/>
                <w:color w:val="000000" w:themeColor="text1"/>
                <w:sz w:val="28"/>
                <w:szCs w:val="28"/>
                <w:lang w:eastAsia="zh-CN"/>
              </w:rPr>
            </w:pPr>
            <w:r w:rsidRPr="00B163CC">
              <w:rPr>
                <w:rFonts w:ascii="Times New Roman" w:eastAsia="標楷體" w:hAnsi="Times New Roman" w:cs="Times New Roman"/>
                <w:b/>
                <w:color w:val="000000" w:themeColor="text1"/>
                <w:sz w:val="28"/>
                <w:szCs w:val="28"/>
                <w:lang w:eastAsia="zh-CN"/>
              </w:rPr>
              <w:t xml:space="preserve">  </w:t>
            </w:r>
            <w:r w:rsidRPr="00633CF8">
              <w:rPr>
                <w:rFonts w:ascii="Times New Roman" w:eastAsia="標楷體" w:hAnsi="Times New Roman" w:cs="Times New Roman"/>
                <w:color w:val="000000" w:themeColor="text1"/>
                <w:sz w:val="28"/>
                <w:szCs w:val="28"/>
                <w:lang w:eastAsia="zh-CN"/>
              </w:rPr>
              <w:t xml:space="preserve"> </w:t>
            </w:r>
            <w:r w:rsidR="00D3023E" w:rsidRPr="00633CF8">
              <w:rPr>
                <w:rFonts w:ascii="Times New Roman" w:eastAsia="標楷體" w:hAnsi="Times New Roman" w:cs="Times New Roman"/>
                <w:color w:val="000000" w:themeColor="text1"/>
                <w:sz w:val="28"/>
                <w:szCs w:val="28"/>
                <w:lang w:eastAsia="zh-CN"/>
              </w:rPr>
              <w:t>景氣循環</w:t>
            </w:r>
            <w:r w:rsidR="005A5A3A" w:rsidRPr="00633CF8">
              <w:rPr>
                <w:rFonts w:ascii="Times New Roman" w:eastAsia="標楷體" w:hAnsi="Times New Roman" w:cs="Times New Roman"/>
                <w:color w:val="000000" w:themeColor="text1"/>
                <w:sz w:val="28"/>
                <w:szCs w:val="28"/>
                <w:lang w:eastAsia="zh-CN"/>
              </w:rPr>
              <w:t>指標目的</w:t>
            </w:r>
            <w:r w:rsidR="008F3F25" w:rsidRPr="00633CF8">
              <w:rPr>
                <w:rFonts w:ascii="Times New Roman" w:eastAsia="標楷體" w:hAnsi="Times New Roman" w:cs="Times New Roman"/>
                <w:color w:val="000000" w:themeColor="text1"/>
                <w:sz w:val="28"/>
                <w:szCs w:val="28"/>
                <w:lang w:eastAsia="zh-CN"/>
              </w:rPr>
              <w:t>在</w:t>
            </w:r>
            <w:r w:rsidR="009D23A7" w:rsidRPr="00633CF8">
              <w:rPr>
                <w:rFonts w:ascii="Times New Roman" w:eastAsia="標楷體" w:hAnsi="Times New Roman" w:cs="Times New Roman"/>
                <w:color w:val="000000" w:themeColor="text1"/>
                <w:sz w:val="28"/>
                <w:szCs w:val="28"/>
                <w:lang w:eastAsia="zh-CN"/>
              </w:rPr>
              <w:t>預見未來循環波動轉</w:t>
            </w:r>
            <w:r w:rsidR="005619D0" w:rsidRPr="00633CF8">
              <w:rPr>
                <w:rFonts w:ascii="Times New Roman" w:eastAsia="標楷體" w:hAnsi="Times New Roman" w:cs="Times New Roman"/>
                <w:color w:val="000000" w:themeColor="text1"/>
                <w:sz w:val="28"/>
                <w:szCs w:val="28"/>
                <w:lang w:eastAsia="zh-CN"/>
              </w:rPr>
              <w:t>折點（</w:t>
            </w:r>
            <w:r w:rsidR="005619D0" w:rsidRPr="00633CF8">
              <w:rPr>
                <w:rFonts w:ascii="Times New Roman" w:eastAsia="標楷體" w:hAnsi="Times New Roman" w:cs="Times New Roman"/>
                <w:color w:val="000000" w:themeColor="text1"/>
                <w:sz w:val="28"/>
                <w:szCs w:val="28"/>
                <w:lang w:eastAsia="zh-CN"/>
              </w:rPr>
              <w:t>turning point</w:t>
            </w:r>
            <w:r w:rsidR="005619D0" w:rsidRPr="00633CF8">
              <w:rPr>
                <w:rFonts w:ascii="Times New Roman" w:eastAsia="標楷體" w:hAnsi="Times New Roman" w:cs="Times New Roman"/>
                <w:color w:val="000000" w:themeColor="text1"/>
                <w:sz w:val="28"/>
                <w:szCs w:val="28"/>
                <w:lang w:eastAsia="zh-CN"/>
              </w:rPr>
              <w:t>）的</w:t>
            </w:r>
            <w:r w:rsidR="00F17983" w:rsidRPr="00633CF8">
              <w:rPr>
                <w:rFonts w:ascii="Times New Roman" w:eastAsia="標楷體" w:hAnsi="Times New Roman" w:cs="Times New Roman"/>
                <w:color w:val="000000" w:themeColor="text1"/>
                <w:sz w:val="28"/>
                <w:szCs w:val="28"/>
                <w:lang w:eastAsia="zh-CN"/>
              </w:rPr>
              <w:t>可能出現，希望即早</w:t>
            </w:r>
            <w:r w:rsidR="00365340" w:rsidRPr="00633CF8">
              <w:rPr>
                <w:rFonts w:ascii="Times New Roman" w:eastAsia="標楷體" w:hAnsi="Times New Roman" w:cs="Times New Roman"/>
                <w:color w:val="000000" w:themeColor="text1"/>
                <w:sz w:val="28"/>
                <w:szCs w:val="28"/>
                <w:lang w:eastAsia="zh-CN"/>
              </w:rPr>
              <w:t>施以</w:t>
            </w:r>
            <w:r w:rsidR="00DA0616" w:rsidRPr="00633CF8">
              <w:rPr>
                <w:rFonts w:ascii="Times New Roman" w:eastAsia="標楷體" w:hAnsi="Times New Roman" w:cs="Times New Roman"/>
                <w:color w:val="000000" w:themeColor="text1"/>
                <w:sz w:val="28"/>
                <w:szCs w:val="28"/>
                <w:lang w:eastAsia="zh-CN"/>
              </w:rPr>
              <w:t>必要的短期景氣對策，</w:t>
            </w:r>
            <w:r w:rsidR="000B0A2B" w:rsidRPr="00633CF8">
              <w:rPr>
                <w:rFonts w:ascii="Times New Roman" w:eastAsia="標楷體" w:hAnsi="Times New Roman" w:cs="Times New Roman"/>
                <w:color w:val="000000" w:themeColor="text1"/>
                <w:sz w:val="28"/>
                <w:szCs w:val="28"/>
                <w:lang w:eastAsia="zh-CN"/>
              </w:rPr>
              <w:t>在可能向下轉折</w:t>
            </w:r>
            <w:r w:rsidR="00F559E1" w:rsidRPr="00633CF8">
              <w:rPr>
                <w:rFonts w:ascii="Times New Roman" w:eastAsia="標楷體" w:hAnsi="Times New Roman" w:cs="Times New Roman"/>
                <w:color w:val="000000" w:themeColor="text1"/>
                <w:sz w:val="28"/>
                <w:szCs w:val="28"/>
                <w:lang w:eastAsia="zh-CN"/>
              </w:rPr>
              <w:t>（即</w:t>
            </w:r>
            <w:r w:rsidR="0006164C" w:rsidRPr="00633CF8">
              <w:rPr>
                <w:rFonts w:ascii="Times New Roman" w:eastAsia="標楷體" w:hAnsi="Times New Roman" w:cs="Times New Roman"/>
                <w:color w:val="000000" w:themeColor="text1"/>
                <w:sz w:val="28"/>
                <w:szCs w:val="28"/>
                <w:lang w:eastAsia="zh-CN"/>
              </w:rPr>
              <w:t>出現</w:t>
            </w:r>
            <w:r w:rsidR="00F559E1" w:rsidRPr="00633CF8">
              <w:rPr>
                <w:rFonts w:ascii="Times New Roman" w:eastAsia="標楷體" w:hAnsi="Times New Roman" w:cs="Times New Roman"/>
                <w:color w:val="000000" w:themeColor="text1"/>
                <w:sz w:val="28"/>
                <w:szCs w:val="28"/>
                <w:lang w:eastAsia="zh-CN"/>
              </w:rPr>
              <w:t>高峰</w:t>
            </w:r>
            <w:r w:rsidR="0006164C" w:rsidRPr="00633CF8">
              <w:rPr>
                <w:rFonts w:ascii="Times New Roman" w:eastAsia="標楷體" w:hAnsi="Times New Roman" w:cs="Times New Roman"/>
                <w:color w:val="000000" w:themeColor="text1"/>
                <w:sz w:val="28"/>
                <w:szCs w:val="28"/>
                <w:lang w:eastAsia="zh-CN"/>
              </w:rPr>
              <w:t>）</w:t>
            </w:r>
            <w:r w:rsidR="000B0A2B" w:rsidRPr="00633CF8">
              <w:rPr>
                <w:rFonts w:ascii="Times New Roman" w:eastAsia="標楷體" w:hAnsi="Times New Roman" w:cs="Times New Roman"/>
                <w:color w:val="000000" w:themeColor="text1"/>
                <w:sz w:val="28"/>
                <w:szCs w:val="28"/>
                <w:lang w:eastAsia="zh-CN"/>
              </w:rPr>
              <w:t>前</w:t>
            </w:r>
            <w:r w:rsidR="00617303" w:rsidRPr="00633CF8">
              <w:rPr>
                <w:rFonts w:ascii="Times New Roman" w:eastAsia="標楷體" w:hAnsi="Times New Roman" w:cs="Times New Roman"/>
                <w:color w:val="000000" w:themeColor="text1"/>
                <w:sz w:val="28"/>
                <w:szCs w:val="28"/>
                <w:lang w:eastAsia="zh-CN"/>
              </w:rPr>
              <w:t>加強景氣刺</w:t>
            </w:r>
            <w:r w:rsidR="00D22EB6" w:rsidRPr="00633CF8">
              <w:rPr>
                <w:rFonts w:ascii="Times New Roman" w:eastAsia="標楷體" w:hAnsi="Times New Roman" w:cs="Times New Roman"/>
                <w:color w:val="000000" w:themeColor="text1"/>
                <w:sz w:val="28"/>
                <w:szCs w:val="28"/>
                <w:lang w:eastAsia="zh-CN"/>
              </w:rPr>
              <w:t>激，提高有效需求，希望避免景氣衰退</w:t>
            </w:r>
            <w:r w:rsidR="00AF2744" w:rsidRPr="00633CF8">
              <w:rPr>
                <w:rFonts w:ascii="Times New Roman" w:eastAsia="標楷體" w:hAnsi="Times New Roman" w:cs="Times New Roman"/>
                <w:color w:val="000000" w:themeColor="text1"/>
                <w:sz w:val="28"/>
                <w:szCs w:val="28"/>
                <w:lang w:eastAsia="zh-CN"/>
              </w:rPr>
              <w:t>。</w:t>
            </w:r>
            <w:r w:rsidR="00814362" w:rsidRPr="00633CF8">
              <w:rPr>
                <w:rFonts w:ascii="Times New Roman" w:eastAsia="標楷體" w:hAnsi="Times New Roman" w:cs="Times New Roman"/>
                <w:color w:val="000000" w:themeColor="text1"/>
                <w:sz w:val="28"/>
                <w:szCs w:val="28"/>
                <w:lang w:eastAsia="zh-CN"/>
              </w:rPr>
              <w:t>相反的怕景氣過熱</w:t>
            </w:r>
            <w:r w:rsidR="009019CE" w:rsidRPr="00633CF8">
              <w:rPr>
                <w:rFonts w:ascii="Times New Roman" w:eastAsia="標楷體" w:hAnsi="Times New Roman" w:cs="Times New Roman"/>
                <w:color w:val="000000" w:themeColor="text1"/>
                <w:sz w:val="28"/>
                <w:szCs w:val="28"/>
                <w:lang w:eastAsia="zh-CN"/>
              </w:rPr>
              <w:t>造成嚴重通膨</w:t>
            </w:r>
            <w:r w:rsidR="00822A1C" w:rsidRPr="00633CF8">
              <w:rPr>
                <w:rFonts w:ascii="Times New Roman" w:eastAsia="標楷體" w:hAnsi="Times New Roman" w:cs="Times New Roman"/>
                <w:color w:val="000000" w:themeColor="text1"/>
                <w:sz w:val="28"/>
                <w:szCs w:val="28"/>
                <w:lang w:eastAsia="zh-CN"/>
              </w:rPr>
              <w:t>就需事先</w:t>
            </w:r>
            <w:r w:rsidR="00005D69" w:rsidRPr="00633CF8">
              <w:rPr>
                <w:rFonts w:ascii="Times New Roman" w:eastAsia="標楷體" w:hAnsi="Times New Roman" w:cs="Times New Roman"/>
                <w:color w:val="000000" w:themeColor="text1"/>
                <w:sz w:val="28"/>
                <w:szCs w:val="28"/>
                <w:lang w:eastAsia="zh-CN"/>
              </w:rPr>
              <w:t>採取景氣抑制措施，防範投機風潮</w:t>
            </w:r>
            <w:r w:rsidR="002D6DA1" w:rsidRPr="00633CF8">
              <w:rPr>
                <w:rFonts w:ascii="Times New Roman" w:eastAsia="標楷體" w:hAnsi="Times New Roman" w:cs="Times New Roman"/>
                <w:color w:val="000000" w:themeColor="text1"/>
                <w:sz w:val="28"/>
                <w:szCs w:val="28"/>
                <w:lang w:eastAsia="zh-CN"/>
              </w:rPr>
              <w:t>之一發不可收拾</w:t>
            </w:r>
            <w:r w:rsidR="0012735B" w:rsidRPr="00633CF8">
              <w:rPr>
                <w:rFonts w:ascii="Times New Roman" w:eastAsia="標楷體" w:hAnsi="Times New Roman" w:cs="Times New Roman"/>
                <w:color w:val="000000" w:themeColor="text1"/>
                <w:sz w:val="28"/>
                <w:szCs w:val="28"/>
                <w:lang w:eastAsia="zh-CN"/>
              </w:rPr>
              <w:t>。</w:t>
            </w:r>
          </w:p>
          <w:p w14:paraId="13C4E809" w14:textId="72C2554F" w:rsidR="004E0442" w:rsidRPr="00633CF8" w:rsidRDefault="00447D7D" w:rsidP="000F79D3">
            <w:pPr>
              <w:adjustRightInd w:val="0"/>
              <w:ind w:firstLineChars="200" w:firstLine="560"/>
              <w:rPr>
                <w:rFonts w:ascii="Times New Roman" w:eastAsia="標楷體" w:hAnsi="Times New Roman" w:cs="Times New Roman"/>
                <w:color w:val="000000" w:themeColor="text1"/>
                <w:sz w:val="28"/>
                <w:szCs w:val="28"/>
                <w:lang w:eastAsia="zh-CN"/>
              </w:rPr>
            </w:pPr>
            <w:r w:rsidRPr="00633CF8">
              <w:rPr>
                <w:rFonts w:ascii="Times New Roman" w:eastAsia="標楷體" w:hAnsi="Times New Roman" w:cs="Times New Roman"/>
                <w:color w:val="000000" w:themeColor="text1"/>
                <w:sz w:val="28"/>
                <w:szCs w:val="28"/>
                <w:lang w:eastAsia="zh-CN"/>
              </w:rPr>
              <w:t>簡言之，景氣循環</w:t>
            </w:r>
            <w:r w:rsidR="00E10E88" w:rsidRPr="00633CF8">
              <w:rPr>
                <w:rFonts w:ascii="Times New Roman" w:eastAsia="標楷體" w:hAnsi="Times New Roman" w:cs="Times New Roman"/>
                <w:color w:val="000000" w:themeColor="text1"/>
                <w:sz w:val="28"/>
                <w:szCs w:val="28"/>
                <w:lang w:eastAsia="zh-CN"/>
              </w:rPr>
              <w:t>因總需求的變化而</w:t>
            </w:r>
            <w:r w:rsidR="00673D11" w:rsidRPr="00633CF8">
              <w:rPr>
                <w:rFonts w:ascii="Times New Roman" w:eastAsia="標楷體" w:hAnsi="Times New Roman" w:cs="Times New Roman"/>
                <w:color w:val="000000" w:themeColor="text1"/>
                <w:sz w:val="28"/>
                <w:szCs w:val="28"/>
                <w:lang w:eastAsia="zh-CN"/>
              </w:rPr>
              <w:t>影響</w:t>
            </w:r>
            <w:r w:rsidR="008F46D9" w:rsidRPr="00633CF8">
              <w:rPr>
                <w:rFonts w:ascii="Times New Roman" w:eastAsia="標楷體" w:hAnsi="Times New Roman" w:cs="Times New Roman"/>
                <w:color w:val="000000" w:themeColor="text1"/>
                <w:sz w:val="28"/>
                <w:szCs w:val="28"/>
                <w:lang w:eastAsia="zh-CN"/>
              </w:rPr>
              <w:t>國家的經濟成長</w:t>
            </w:r>
            <w:r w:rsidR="003621E6" w:rsidRPr="00633CF8">
              <w:rPr>
                <w:rFonts w:ascii="Times New Roman" w:eastAsia="標楷體" w:hAnsi="Times New Roman" w:cs="Times New Roman"/>
                <w:color w:val="000000" w:themeColor="text1"/>
                <w:sz w:val="28"/>
                <w:szCs w:val="28"/>
                <w:lang w:eastAsia="zh-CN"/>
              </w:rPr>
              <w:t>、</w:t>
            </w:r>
            <w:r w:rsidR="00B864ED" w:rsidRPr="00633CF8">
              <w:rPr>
                <w:rFonts w:ascii="Times New Roman" w:eastAsia="標楷體" w:hAnsi="Times New Roman" w:cs="Times New Roman"/>
                <w:color w:val="000000" w:themeColor="text1"/>
                <w:sz w:val="28"/>
                <w:szCs w:val="28"/>
                <w:lang w:eastAsia="zh-CN"/>
              </w:rPr>
              <w:t>就業與物價</w:t>
            </w:r>
            <w:r w:rsidR="003621E6" w:rsidRPr="00633CF8">
              <w:rPr>
                <w:rFonts w:ascii="Times New Roman" w:eastAsia="標楷體" w:hAnsi="Times New Roman" w:cs="Times New Roman"/>
                <w:color w:val="000000" w:themeColor="text1"/>
                <w:sz w:val="28"/>
                <w:szCs w:val="28"/>
                <w:lang w:eastAsia="zh-CN"/>
              </w:rPr>
              <w:t>，</w:t>
            </w:r>
            <w:r w:rsidR="008C7648" w:rsidRPr="00633CF8">
              <w:rPr>
                <w:rFonts w:ascii="Times New Roman" w:eastAsia="標楷體" w:hAnsi="Times New Roman" w:cs="Times New Roman"/>
                <w:color w:val="000000" w:themeColor="text1"/>
                <w:sz w:val="28"/>
                <w:szCs w:val="28"/>
                <w:lang w:eastAsia="zh-CN"/>
              </w:rPr>
              <w:t>也影響</w:t>
            </w:r>
            <w:r w:rsidR="00703231" w:rsidRPr="00633CF8">
              <w:rPr>
                <w:rFonts w:ascii="Times New Roman" w:eastAsia="標楷體" w:hAnsi="Times New Roman" w:cs="Times New Roman"/>
                <w:color w:val="000000" w:themeColor="text1"/>
                <w:sz w:val="28"/>
                <w:szCs w:val="28"/>
                <w:lang w:eastAsia="zh-CN"/>
              </w:rPr>
              <w:t>企業的資本設備利用率</w:t>
            </w:r>
            <w:r w:rsidR="00E64204" w:rsidRPr="00633CF8">
              <w:rPr>
                <w:rFonts w:ascii="Times New Roman" w:eastAsia="標楷體" w:hAnsi="Times New Roman" w:cs="Times New Roman"/>
                <w:color w:val="000000" w:themeColor="text1"/>
                <w:sz w:val="28"/>
                <w:szCs w:val="28"/>
                <w:lang w:eastAsia="zh-CN"/>
              </w:rPr>
              <w:t>、</w:t>
            </w:r>
            <w:r w:rsidR="00EC2A12" w:rsidRPr="00633CF8">
              <w:rPr>
                <w:rFonts w:ascii="Times New Roman" w:eastAsia="標楷體" w:hAnsi="Times New Roman" w:cs="Times New Roman"/>
                <w:color w:val="000000" w:themeColor="text1"/>
                <w:sz w:val="28"/>
                <w:szCs w:val="28"/>
                <w:lang w:eastAsia="zh-CN"/>
              </w:rPr>
              <w:t>存貨管理</w:t>
            </w:r>
            <w:r w:rsidR="00E64204" w:rsidRPr="00633CF8">
              <w:rPr>
                <w:rFonts w:ascii="Times New Roman" w:eastAsia="標楷體" w:hAnsi="Times New Roman" w:cs="Times New Roman"/>
                <w:color w:val="000000" w:themeColor="text1"/>
                <w:sz w:val="28"/>
                <w:szCs w:val="28"/>
                <w:lang w:eastAsia="zh-CN"/>
              </w:rPr>
              <w:t>、</w:t>
            </w:r>
            <w:r w:rsidR="00EC2A12" w:rsidRPr="00633CF8">
              <w:rPr>
                <w:rFonts w:ascii="Times New Roman" w:eastAsia="標楷體" w:hAnsi="Times New Roman" w:cs="Times New Roman"/>
                <w:color w:val="000000" w:themeColor="text1"/>
                <w:sz w:val="28"/>
                <w:szCs w:val="28"/>
                <w:lang w:eastAsia="zh-CN"/>
              </w:rPr>
              <w:t>人力資源</w:t>
            </w:r>
            <w:r w:rsidR="00236637" w:rsidRPr="00633CF8">
              <w:rPr>
                <w:rFonts w:ascii="Times New Roman" w:eastAsia="標楷體" w:hAnsi="Times New Roman" w:cs="Times New Roman"/>
                <w:color w:val="000000" w:themeColor="text1"/>
                <w:sz w:val="28"/>
                <w:szCs w:val="28"/>
                <w:lang w:eastAsia="zh-CN"/>
              </w:rPr>
              <w:t>生產力</w:t>
            </w:r>
            <w:r w:rsidR="00E64204" w:rsidRPr="00633CF8">
              <w:rPr>
                <w:rFonts w:ascii="Times New Roman" w:eastAsia="標楷體" w:hAnsi="Times New Roman" w:cs="Times New Roman"/>
                <w:color w:val="000000" w:themeColor="text1"/>
                <w:sz w:val="28"/>
                <w:szCs w:val="28"/>
                <w:lang w:eastAsia="zh-CN"/>
              </w:rPr>
              <w:t>、</w:t>
            </w:r>
            <w:r w:rsidR="00E3533B" w:rsidRPr="00633CF8">
              <w:rPr>
                <w:rFonts w:ascii="Times New Roman" w:eastAsia="標楷體" w:hAnsi="Times New Roman" w:cs="Times New Roman"/>
                <w:color w:val="000000" w:themeColor="text1"/>
                <w:sz w:val="28"/>
                <w:szCs w:val="28"/>
                <w:lang w:eastAsia="zh-CN"/>
              </w:rPr>
              <w:t>工資率</w:t>
            </w:r>
            <w:r w:rsidR="00236637" w:rsidRPr="00633CF8">
              <w:rPr>
                <w:rFonts w:ascii="Times New Roman" w:eastAsia="標楷體" w:hAnsi="Times New Roman" w:cs="Times New Roman"/>
                <w:color w:val="000000" w:themeColor="text1"/>
                <w:sz w:val="28"/>
                <w:szCs w:val="28"/>
                <w:lang w:eastAsia="zh-CN"/>
              </w:rPr>
              <w:t>及利潤率</w:t>
            </w:r>
            <w:r w:rsidR="00F5356A" w:rsidRPr="00633CF8">
              <w:rPr>
                <w:rFonts w:ascii="Times New Roman" w:eastAsia="標楷體" w:hAnsi="Times New Roman" w:cs="Times New Roman"/>
                <w:color w:val="000000" w:themeColor="text1"/>
                <w:sz w:val="28"/>
                <w:szCs w:val="28"/>
                <w:lang w:eastAsia="zh-CN"/>
              </w:rPr>
              <w:t>，</w:t>
            </w:r>
            <w:r w:rsidR="008B43F6" w:rsidRPr="00633CF8">
              <w:rPr>
                <w:rFonts w:ascii="Times New Roman" w:eastAsia="標楷體" w:hAnsi="Times New Roman" w:cs="Times New Roman"/>
                <w:color w:val="000000" w:themeColor="text1"/>
                <w:sz w:val="28"/>
                <w:szCs w:val="28"/>
                <w:lang w:eastAsia="zh-CN"/>
              </w:rPr>
              <w:t>同時影響個人</w:t>
            </w:r>
            <w:r w:rsidR="00DD37A9" w:rsidRPr="00633CF8">
              <w:rPr>
                <w:rFonts w:ascii="Times New Roman" w:eastAsia="標楷體" w:hAnsi="Times New Roman" w:cs="Times New Roman"/>
                <w:color w:val="000000" w:themeColor="text1"/>
                <w:sz w:val="28"/>
                <w:szCs w:val="28"/>
                <w:lang w:eastAsia="zh-CN"/>
              </w:rPr>
              <w:t>及家庭所得，並產生財富價值的變化，</w:t>
            </w:r>
            <w:r w:rsidR="00F5356A" w:rsidRPr="00633CF8">
              <w:rPr>
                <w:rFonts w:ascii="Times New Roman" w:eastAsia="標楷體" w:hAnsi="Times New Roman" w:cs="Times New Roman"/>
                <w:color w:val="000000" w:themeColor="text1"/>
                <w:sz w:val="28"/>
                <w:szCs w:val="28"/>
                <w:lang w:eastAsia="zh-CN"/>
              </w:rPr>
              <w:t>最後影響</w:t>
            </w:r>
            <w:r w:rsidR="009B6AA8" w:rsidRPr="00633CF8">
              <w:rPr>
                <w:rFonts w:ascii="Times New Roman" w:eastAsia="標楷體" w:hAnsi="Times New Roman" w:cs="Times New Roman"/>
                <w:color w:val="000000" w:themeColor="text1"/>
                <w:sz w:val="28"/>
                <w:szCs w:val="28"/>
                <w:lang w:eastAsia="zh-CN"/>
              </w:rPr>
              <w:t>國家經濟發展與人民福祉。</w:t>
            </w:r>
            <w:r w:rsidR="00AB7F14" w:rsidRPr="00633CF8">
              <w:rPr>
                <w:rFonts w:ascii="Times New Roman" w:eastAsia="標楷體" w:hAnsi="Times New Roman" w:cs="Times New Roman"/>
                <w:color w:val="000000" w:themeColor="text1"/>
                <w:sz w:val="28"/>
                <w:szCs w:val="28"/>
                <w:lang w:eastAsia="zh-CN"/>
              </w:rPr>
              <w:t>研究預測景氣循環</w:t>
            </w:r>
            <w:r w:rsidR="00424D8D" w:rsidRPr="00633CF8">
              <w:rPr>
                <w:rFonts w:ascii="Times New Roman" w:eastAsia="標楷體" w:hAnsi="Times New Roman" w:cs="Times New Roman"/>
                <w:color w:val="000000" w:themeColor="text1"/>
                <w:sz w:val="28"/>
                <w:szCs w:val="28"/>
                <w:lang w:eastAsia="zh-CN"/>
              </w:rPr>
              <w:t>目的就是在</w:t>
            </w:r>
            <w:r w:rsidR="007005AC" w:rsidRPr="00633CF8">
              <w:rPr>
                <w:rFonts w:ascii="Times New Roman" w:eastAsia="標楷體" w:hAnsi="Times New Roman" w:cs="Times New Roman"/>
                <w:color w:val="000000" w:themeColor="text1"/>
                <w:sz w:val="28"/>
                <w:szCs w:val="28"/>
                <w:lang w:eastAsia="zh-CN"/>
              </w:rPr>
              <w:t>維持整體經濟活動水準的穩定性與</w:t>
            </w:r>
            <w:r w:rsidR="001E5C6A" w:rsidRPr="00633CF8">
              <w:rPr>
                <w:rFonts w:ascii="Times New Roman" w:eastAsia="標楷體" w:hAnsi="Times New Roman" w:cs="Times New Roman"/>
                <w:color w:val="000000" w:themeColor="text1"/>
                <w:sz w:val="28"/>
                <w:szCs w:val="28"/>
                <w:lang w:eastAsia="zh-CN"/>
              </w:rPr>
              <w:t>確定性，讓國家潛在</w:t>
            </w:r>
            <w:r w:rsidR="001F3010" w:rsidRPr="00633CF8">
              <w:rPr>
                <w:rFonts w:ascii="Times New Roman" w:eastAsia="標楷體" w:hAnsi="Times New Roman" w:cs="Times New Roman"/>
                <w:color w:val="000000" w:themeColor="text1"/>
                <w:sz w:val="28"/>
                <w:szCs w:val="28"/>
                <w:lang w:eastAsia="zh-CN"/>
              </w:rPr>
              <w:t>生產力</w:t>
            </w:r>
            <w:r w:rsidR="000B0B08" w:rsidRPr="00633CF8">
              <w:rPr>
                <w:rFonts w:ascii="Times New Roman" w:eastAsia="標楷體" w:hAnsi="Times New Roman" w:cs="Times New Roman"/>
                <w:color w:val="000000" w:themeColor="text1"/>
                <w:sz w:val="28"/>
                <w:szCs w:val="28"/>
                <w:lang w:eastAsia="zh-CN"/>
              </w:rPr>
              <w:lastRenderedPageBreak/>
              <w:t>充分</w:t>
            </w:r>
            <w:r w:rsidR="00464E2D" w:rsidRPr="00633CF8">
              <w:rPr>
                <w:rFonts w:ascii="Times New Roman" w:eastAsia="標楷體" w:hAnsi="Times New Roman" w:cs="Times New Roman"/>
                <w:color w:val="000000" w:themeColor="text1"/>
                <w:sz w:val="28"/>
                <w:szCs w:val="28"/>
                <w:lang w:eastAsia="zh-CN"/>
              </w:rPr>
              <w:t>且適度</w:t>
            </w:r>
            <w:r w:rsidR="000B0B08" w:rsidRPr="00633CF8">
              <w:rPr>
                <w:rFonts w:ascii="Times New Roman" w:eastAsia="標楷體" w:hAnsi="Times New Roman" w:cs="Times New Roman"/>
                <w:color w:val="000000" w:themeColor="text1"/>
                <w:sz w:val="28"/>
                <w:szCs w:val="28"/>
                <w:lang w:eastAsia="zh-CN"/>
              </w:rPr>
              <w:t>實現</w:t>
            </w:r>
            <w:r w:rsidR="00181D23" w:rsidRPr="00633CF8">
              <w:rPr>
                <w:rFonts w:ascii="Times New Roman" w:eastAsia="標楷體" w:hAnsi="Times New Roman" w:cs="Times New Roman"/>
                <w:color w:val="000000" w:themeColor="text1"/>
                <w:sz w:val="28"/>
                <w:szCs w:val="28"/>
                <w:lang w:eastAsia="zh-CN"/>
              </w:rPr>
              <w:t>，</w:t>
            </w:r>
            <w:r w:rsidR="00603E2A" w:rsidRPr="00633CF8">
              <w:rPr>
                <w:rFonts w:ascii="Times New Roman" w:eastAsia="標楷體" w:hAnsi="Times New Roman" w:cs="Times New Roman"/>
                <w:color w:val="000000" w:themeColor="text1"/>
                <w:sz w:val="28"/>
                <w:szCs w:val="28"/>
                <w:lang w:eastAsia="zh-CN"/>
              </w:rPr>
              <w:t>企業</w:t>
            </w:r>
            <w:r w:rsidR="00531738" w:rsidRPr="00633CF8">
              <w:rPr>
                <w:rFonts w:ascii="Times New Roman" w:eastAsia="標楷體" w:hAnsi="Times New Roman" w:cs="Times New Roman"/>
                <w:color w:val="000000" w:themeColor="text1"/>
                <w:sz w:val="28"/>
                <w:szCs w:val="28"/>
                <w:lang w:eastAsia="zh-CN"/>
              </w:rPr>
              <w:t>考慮</w:t>
            </w:r>
            <w:r w:rsidR="00EB0824" w:rsidRPr="00633CF8">
              <w:rPr>
                <w:rFonts w:ascii="Times New Roman" w:eastAsia="標楷體" w:hAnsi="Times New Roman" w:cs="Times New Roman"/>
                <w:color w:val="000000" w:themeColor="text1"/>
                <w:sz w:val="28"/>
                <w:szCs w:val="28"/>
                <w:lang w:eastAsia="zh-CN"/>
              </w:rPr>
              <w:t>各項</w:t>
            </w:r>
            <w:r w:rsidR="00603E2A" w:rsidRPr="00633CF8">
              <w:rPr>
                <w:rFonts w:ascii="Times New Roman" w:eastAsia="標楷體" w:hAnsi="Times New Roman" w:cs="Times New Roman"/>
                <w:color w:val="000000" w:themeColor="text1"/>
                <w:sz w:val="28"/>
                <w:szCs w:val="28"/>
                <w:lang w:eastAsia="zh-CN"/>
              </w:rPr>
              <w:t>投資</w:t>
            </w:r>
            <w:r w:rsidR="002731E9" w:rsidRPr="00633CF8">
              <w:rPr>
                <w:rFonts w:ascii="Times New Roman" w:eastAsia="標楷體" w:hAnsi="Times New Roman" w:cs="Times New Roman"/>
                <w:color w:val="000000" w:themeColor="text1"/>
                <w:sz w:val="28"/>
                <w:szCs w:val="28"/>
                <w:lang w:eastAsia="zh-CN"/>
              </w:rPr>
              <w:t>的</w:t>
            </w:r>
            <w:r w:rsidR="00B0424B" w:rsidRPr="00633CF8">
              <w:rPr>
                <w:rFonts w:ascii="Times New Roman" w:eastAsia="標楷體" w:hAnsi="Times New Roman" w:cs="Times New Roman"/>
                <w:color w:val="000000" w:themeColor="text1"/>
                <w:sz w:val="28"/>
                <w:szCs w:val="28"/>
                <w:lang w:eastAsia="zh-CN"/>
              </w:rPr>
              <w:t>預期利潤</w:t>
            </w:r>
            <w:r w:rsidR="00F83AEF" w:rsidRPr="00633CF8">
              <w:rPr>
                <w:rFonts w:ascii="Times New Roman" w:eastAsia="標楷體" w:hAnsi="Times New Roman" w:cs="Times New Roman"/>
                <w:color w:val="000000" w:themeColor="text1"/>
                <w:sz w:val="28"/>
                <w:szCs w:val="28"/>
                <w:lang w:eastAsia="zh-CN"/>
              </w:rPr>
              <w:t>率</w:t>
            </w:r>
            <w:r w:rsidR="008B4D9F" w:rsidRPr="00633CF8">
              <w:rPr>
                <w:rFonts w:ascii="Times New Roman" w:eastAsia="標楷體" w:hAnsi="Times New Roman" w:cs="Times New Roman"/>
                <w:color w:val="000000" w:themeColor="text1"/>
                <w:sz w:val="28"/>
                <w:szCs w:val="28"/>
                <w:lang w:eastAsia="zh-CN"/>
              </w:rPr>
              <w:t>明確</w:t>
            </w:r>
            <w:r w:rsidR="00091EED" w:rsidRPr="00633CF8">
              <w:rPr>
                <w:rFonts w:ascii="Times New Roman" w:eastAsia="標楷體" w:hAnsi="Times New Roman" w:cs="Times New Roman"/>
                <w:color w:val="000000" w:themeColor="text1"/>
                <w:sz w:val="28"/>
                <w:szCs w:val="28"/>
                <w:lang w:eastAsia="zh-CN"/>
              </w:rPr>
              <w:t>化</w:t>
            </w:r>
            <w:r w:rsidR="002731E9" w:rsidRPr="00633CF8">
              <w:rPr>
                <w:rFonts w:ascii="Times New Roman" w:eastAsia="標楷體" w:hAnsi="Times New Roman" w:cs="Times New Roman"/>
                <w:color w:val="000000" w:themeColor="text1"/>
                <w:sz w:val="28"/>
                <w:szCs w:val="28"/>
                <w:lang w:eastAsia="zh-CN"/>
              </w:rPr>
              <w:t>。</w:t>
            </w:r>
          </w:p>
          <w:p w14:paraId="244F9A62" w14:textId="1F3437EB" w:rsidR="000C70C8" w:rsidRPr="00633CF8" w:rsidRDefault="001A1FD2" w:rsidP="000F79D3">
            <w:pPr>
              <w:adjustRightInd w:val="0"/>
              <w:ind w:firstLineChars="200" w:firstLine="560"/>
              <w:rPr>
                <w:rFonts w:ascii="Times New Roman" w:eastAsia="標楷體" w:hAnsi="Times New Roman" w:cs="Times New Roman"/>
                <w:color w:val="000000" w:themeColor="text1"/>
                <w:sz w:val="28"/>
                <w:szCs w:val="28"/>
                <w:lang w:eastAsia="zh-CN"/>
              </w:rPr>
            </w:pPr>
            <w:r w:rsidRPr="00633CF8">
              <w:rPr>
                <w:rFonts w:ascii="Times New Roman" w:eastAsia="標楷體" w:hAnsi="Times New Roman" w:cs="Times New Roman"/>
                <w:color w:val="000000" w:themeColor="text1"/>
                <w:sz w:val="28"/>
                <w:szCs w:val="28"/>
                <w:lang w:eastAsia="zh-CN"/>
              </w:rPr>
              <w:t>台灣經濟顯然是較具</w:t>
            </w:r>
            <w:r w:rsidR="00650092" w:rsidRPr="00633CF8">
              <w:rPr>
                <w:rFonts w:ascii="Times New Roman" w:eastAsia="標楷體" w:hAnsi="Times New Roman" w:cs="Times New Roman"/>
                <w:color w:val="000000" w:themeColor="text1"/>
                <w:sz w:val="28"/>
                <w:szCs w:val="28"/>
                <w:lang w:eastAsia="zh-CN"/>
              </w:rPr>
              <w:t>波動性（</w:t>
            </w:r>
            <w:r w:rsidR="00B967DC" w:rsidRPr="00633CF8">
              <w:rPr>
                <w:rFonts w:ascii="Times New Roman" w:eastAsia="標楷體" w:hAnsi="Times New Roman" w:cs="Times New Roman"/>
                <w:color w:val="000000" w:themeColor="text1"/>
                <w:sz w:val="28"/>
                <w:szCs w:val="28"/>
                <w:lang w:eastAsia="zh-CN"/>
              </w:rPr>
              <w:t>volatile</w:t>
            </w:r>
            <w:r w:rsidR="00B967DC" w:rsidRPr="00633CF8">
              <w:rPr>
                <w:rFonts w:ascii="Times New Roman" w:eastAsia="標楷體" w:hAnsi="Times New Roman" w:cs="Times New Roman"/>
                <w:color w:val="000000" w:themeColor="text1"/>
                <w:sz w:val="28"/>
                <w:szCs w:val="28"/>
                <w:lang w:eastAsia="zh-CN"/>
              </w:rPr>
              <w:t>）</w:t>
            </w:r>
            <w:r w:rsidR="00650092" w:rsidRPr="00633CF8">
              <w:rPr>
                <w:rFonts w:ascii="Times New Roman" w:eastAsia="標楷體" w:hAnsi="Times New Roman" w:cs="Times New Roman"/>
                <w:color w:val="000000" w:themeColor="text1"/>
                <w:sz w:val="28"/>
                <w:szCs w:val="28"/>
                <w:lang w:eastAsia="zh-CN"/>
              </w:rPr>
              <w:t>與</w:t>
            </w:r>
            <w:r w:rsidR="00B967DC" w:rsidRPr="00633CF8">
              <w:rPr>
                <w:rFonts w:ascii="Times New Roman" w:eastAsia="標楷體" w:hAnsi="Times New Roman" w:cs="Times New Roman"/>
                <w:color w:val="000000" w:themeColor="text1"/>
                <w:sz w:val="28"/>
                <w:szCs w:val="28"/>
                <w:lang w:eastAsia="zh-CN"/>
              </w:rPr>
              <w:t>脆弱</w:t>
            </w:r>
            <w:r w:rsidR="00985E53" w:rsidRPr="00633CF8">
              <w:rPr>
                <w:rFonts w:ascii="Times New Roman" w:eastAsia="標楷體" w:hAnsi="Times New Roman" w:cs="Times New Roman"/>
                <w:color w:val="000000" w:themeColor="text1"/>
                <w:sz w:val="28"/>
                <w:szCs w:val="28"/>
                <w:lang w:eastAsia="zh-CN"/>
              </w:rPr>
              <w:t>性（</w:t>
            </w:r>
            <w:r w:rsidR="00985E53" w:rsidRPr="00633CF8">
              <w:rPr>
                <w:rFonts w:ascii="Times New Roman" w:eastAsia="標楷體" w:hAnsi="Times New Roman" w:cs="Times New Roman"/>
                <w:color w:val="000000" w:themeColor="text1"/>
                <w:sz w:val="28"/>
                <w:szCs w:val="28"/>
                <w:lang w:eastAsia="zh-CN"/>
              </w:rPr>
              <w:t>vulnerable</w:t>
            </w:r>
            <w:r w:rsidR="00985E53" w:rsidRPr="00633CF8">
              <w:rPr>
                <w:rFonts w:ascii="Times New Roman" w:eastAsia="標楷體" w:hAnsi="Times New Roman" w:cs="Times New Roman"/>
                <w:color w:val="000000" w:themeColor="text1"/>
                <w:sz w:val="28"/>
                <w:szCs w:val="28"/>
                <w:lang w:eastAsia="zh-CN"/>
              </w:rPr>
              <w:t>）</w:t>
            </w:r>
            <w:r w:rsidR="00893565" w:rsidRPr="00633CF8">
              <w:rPr>
                <w:rFonts w:ascii="Times New Roman" w:eastAsia="標楷體" w:hAnsi="Times New Roman" w:cs="Times New Roman"/>
                <w:color w:val="000000" w:themeColor="text1"/>
                <w:sz w:val="28"/>
                <w:szCs w:val="28"/>
                <w:lang w:eastAsia="zh-CN"/>
              </w:rPr>
              <w:t>。例如</w:t>
            </w:r>
            <w:r w:rsidR="00893565" w:rsidRPr="00633CF8">
              <w:rPr>
                <w:rFonts w:ascii="Times New Roman" w:eastAsia="標楷體" w:hAnsi="Times New Roman" w:cs="Times New Roman"/>
                <w:color w:val="000000" w:themeColor="text1"/>
                <w:sz w:val="28"/>
                <w:szCs w:val="28"/>
                <w:lang w:eastAsia="zh-CN"/>
              </w:rPr>
              <w:t>2008</w:t>
            </w:r>
            <w:r w:rsidR="00893565" w:rsidRPr="00633CF8">
              <w:rPr>
                <w:rFonts w:ascii="Times New Roman" w:eastAsia="標楷體" w:hAnsi="Times New Roman" w:cs="Times New Roman"/>
                <w:color w:val="000000" w:themeColor="text1"/>
                <w:sz w:val="28"/>
                <w:szCs w:val="28"/>
                <w:lang w:eastAsia="zh-CN"/>
              </w:rPr>
              <w:t>金融海</w:t>
            </w:r>
            <w:r w:rsidR="006F3821" w:rsidRPr="00633CF8">
              <w:rPr>
                <w:rFonts w:ascii="Times New Roman" w:eastAsia="標楷體" w:hAnsi="Times New Roman" w:cs="Times New Roman"/>
                <w:color w:val="000000" w:themeColor="text1"/>
                <w:sz w:val="28"/>
                <w:szCs w:val="28"/>
                <w:lang w:eastAsia="zh-CN"/>
              </w:rPr>
              <w:t>嘯之後，美國於</w:t>
            </w:r>
            <w:r w:rsidR="006F3821" w:rsidRPr="00633CF8">
              <w:rPr>
                <w:rFonts w:ascii="Times New Roman" w:eastAsia="標楷體" w:hAnsi="Times New Roman" w:cs="Times New Roman"/>
                <w:color w:val="000000" w:themeColor="text1"/>
                <w:sz w:val="28"/>
                <w:szCs w:val="28"/>
                <w:lang w:eastAsia="zh-CN"/>
              </w:rPr>
              <w:t>2009</w:t>
            </w:r>
            <w:r w:rsidR="006F3821" w:rsidRPr="00633CF8">
              <w:rPr>
                <w:rFonts w:ascii="Times New Roman" w:eastAsia="標楷體" w:hAnsi="Times New Roman" w:cs="Times New Roman"/>
                <w:color w:val="000000" w:themeColor="text1"/>
                <w:sz w:val="28"/>
                <w:szCs w:val="28"/>
                <w:lang w:eastAsia="zh-CN"/>
              </w:rPr>
              <w:t>年</w:t>
            </w:r>
            <w:r w:rsidR="003B71AF" w:rsidRPr="00633CF8">
              <w:rPr>
                <w:rFonts w:ascii="Times New Roman" w:eastAsia="標楷體" w:hAnsi="Times New Roman" w:cs="Times New Roman"/>
                <w:color w:val="000000" w:themeColor="text1"/>
                <w:sz w:val="28"/>
                <w:szCs w:val="28"/>
                <w:lang w:eastAsia="zh-CN"/>
              </w:rPr>
              <w:t>7</w:t>
            </w:r>
            <w:r w:rsidR="00A333CA" w:rsidRPr="00633CF8">
              <w:rPr>
                <w:rFonts w:ascii="Times New Roman" w:eastAsia="標楷體" w:hAnsi="Times New Roman" w:cs="Times New Roman"/>
                <w:color w:val="000000" w:themeColor="text1"/>
                <w:sz w:val="28"/>
                <w:szCs w:val="28"/>
                <w:lang w:eastAsia="zh-CN"/>
              </w:rPr>
              <w:t>月開始</w:t>
            </w:r>
            <w:r w:rsidR="0019499E">
              <w:rPr>
                <w:rFonts w:ascii="Times New Roman" w:eastAsia="標楷體" w:hAnsi="Times New Roman" w:cs="Times New Roman" w:hint="eastAsia"/>
                <w:bCs/>
                <w:color w:val="000000" w:themeColor="text1"/>
                <w:sz w:val="28"/>
                <w:szCs w:val="28"/>
                <w:lang w:eastAsia="zh-CN"/>
              </w:rPr>
              <w:t>復甦</w:t>
            </w:r>
            <w:r w:rsidR="00A333CA" w:rsidRPr="00633CF8">
              <w:rPr>
                <w:rFonts w:ascii="Times New Roman" w:eastAsia="標楷體" w:hAnsi="Times New Roman" w:cs="Times New Roman"/>
                <w:color w:val="000000" w:themeColor="text1"/>
                <w:sz w:val="28"/>
                <w:szCs w:val="28"/>
                <w:lang w:eastAsia="zh-CN"/>
              </w:rPr>
              <w:t>迄今</w:t>
            </w:r>
            <w:r w:rsidR="00E32C40" w:rsidRPr="00633CF8">
              <w:rPr>
                <w:rFonts w:ascii="Times New Roman" w:eastAsia="標楷體" w:hAnsi="Times New Roman" w:cs="Times New Roman"/>
                <w:color w:val="000000" w:themeColor="text1"/>
                <w:sz w:val="28"/>
                <w:szCs w:val="28"/>
                <w:lang w:eastAsia="zh-CN"/>
              </w:rPr>
              <w:t>已達</w:t>
            </w:r>
            <w:r w:rsidR="00E32C40" w:rsidRPr="00633CF8">
              <w:rPr>
                <w:rFonts w:ascii="Times New Roman" w:eastAsia="標楷體" w:hAnsi="Times New Roman" w:cs="Times New Roman"/>
                <w:color w:val="000000" w:themeColor="text1"/>
                <w:sz w:val="28"/>
                <w:szCs w:val="28"/>
                <w:lang w:eastAsia="zh-CN"/>
              </w:rPr>
              <w:t>9</w:t>
            </w:r>
            <w:r w:rsidR="00E32C40" w:rsidRPr="00633CF8">
              <w:rPr>
                <w:rFonts w:ascii="Times New Roman" w:eastAsia="標楷體" w:hAnsi="Times New Roman" w:cs="Times New Roman"/>
                <w:color w:val="000000" w:themeColor="text1"/>
                <w:sz w:val="28"/>
                <w:szCs w:val="28"/>
                <w:lang w:eastAsia="zh-CN"/>
              </w:rPr>
              <w:t>年</w:t>
            </w:r>
            <w:r w:rsidR="00FB5AE7" w:rsidRPr="00633CF8">
              <w:rPr>
                <w:rFonts w:ascii="Times New Roman" w:eastAsia="標楷體" w:hAnsi="Times New Roman" w:cs="Times New Roman"/>
                <w:color w:val="000000" w:themeColor="text1"/>
                <w:sz w:val="28"/>
                <w:szCs w:val="28"/>
                <w:lang w:eastAsia="zh-CN"/>
              </w:rPr>
              <w:t>尚未</w:t>
            </w:r>
            <w:r w:rsidR="00FF55A4" w:rsidRPr="00633CF8">
              <w:rPr>
                <w:rFonts w:ascii="Times New Roman" w:eastAsia="標楷體" w:hAnsi="Times New Roman" w:cs="Times New Roman"/>
                <w:color w:val="000000" w:themeColor="text1"/>
                <w:sz w:val="28"/>
                <w:szCs w:val="28"/>
                <w:lang w:eastAsia="zh-CN"/>
              </w:rPr>
              <w:t>衰退過，</w:t>
            </w:r>
            <w:r w:rsidR="00157674" w:rsidRPr="00633CF8">
              <w:rPr>
                <w:rFonts w:ascii="Times New Roman" w:eastAsia="標楷體" w:hAnsi="Times New Roman" w:cs="Times New Roman"/>
                <w:color w:val="000000" w:themeColor="text1"/>
                <w:sz w:val="28"/>
                <w:szCs w:val="28"/>
                <w:lang w:eastAsia="zh-CN"/>
              </w:rPr>
              <w:t>且</w:t>
            </w:r>
            <w:r w:rsidR="000D1039" w:rsidRPr="00633CF8">
              <w:rPr>
                <w:rFonts w:ascii="Times New Roman" w:eastAsia="標楷體" w:hAnsi="Times New Roman" w:cs="Times New Roman"/>
                <w:color w:val="000000" w:themeColor="text1"/>
                <w:sz w:val="28"/>
                <w:szCs w:val="28"/>
                <w:lang w:eastAsia="zh-CN"/>
              </w:rPr>
              <w:t>第二季還出現</w:t>
            </w:r>
            <w:r w:rsidR="00BB22EE" w:rsidRPr="00633CF8">
              <w:rPr>
                <w:rFonts w:ascii="Times New Roman" w:eastAsia="標楷體" w:hAnsi="Times New Roman" w:cs="Times New Roman"/>
                <w:color w:val="000000" w:themeColor="text1"/>
                <w:sz w:val="28"/>
                <w:szCs w:val="28"/>
                <w:lang w:eastAsia="zh-CN"/>
              </w:rPr>
              <w:t>近</w:t>
            </w:r>
            <w:r w:rsidR="007E21E4" w:rsidRPr="00633CF8">
              <w:rPr>
                <w:rFonts w:ascii="Times New Roman" w:eastAsia="標楷體" w:hAnsi="Times New Roman" w:cs="Times New Roman"/>
                <w:color w:val="000000" w:themeColor="text1"/>
                <w:sz w:val="28"/>
                <w:szCs w:val="28"/>
                <w:lang w:eastAsia="zh-CN"/>
              </w:rPr>
              <w:t>四年來的高點</w:t>
            </w:r>
            <w:r w:rsidR="007E21E4" w:rsidRPr="00633CF8">
              <w:rPr>
                <w:rFonts w:ascii="Times New Roman" w:eastAsia="標楷體" w:hAnsi="Times New Roman" w:cs="Times New Roman"/>
                <w:color w:val="000000" w:themeColor="text1"/>
                <w:sz w:val="28"/>
                <w:szCs w:val="28"/>
                <w:lang w:eastAsia="zh-CN"/>
              </w:rPr>
              <w:t>4.1</w:t>
            </w:r>
            <w:r w:rsidR="00B41913" w:rsidRPr="00633CF8">
              <w:rPr>
                <w:rFonts w:ascii="Times New Roman" w:eastAsia="標楷體" w:hAnsi="Times New Roman" w:cs="Times New Roman"/>
                <w:color w:val="000000" w:themeColor="text1"/>
                <w:sz w:val="28"/>
                <w:szCs w:val="28"/>
                <w:lang w:eastAsia="zh-CN"/>
              </w:rPr>
              <w:t>%</w:t>
            </w:r>
            <w:r w:rsidR="00B41913" w:rsidRPr="00633CF8">
              <w:rPr>
                <w:rFonts w:ascii="Times New Roman" w:eastAsia="標楷體" w:hAnsi="Times New Roman" w:cs="Times New Roman"/>
                <w:color w:val="000000" w:themeColor="text1"/>
                <w:sz w:val="28"/>
                <w:szCs w:val="28"/>
                <w:lang w:eastAsia="zh-CN"/>
              </w:rPr>
              <w:t>年成長率，</w:t>
            </w:r>
            <w:r w:rsidR="00704A4E" w:rsidRPr="00633CF8">
              <w:rPr>
                <w:rFonts w:ascii="Times New Roman" w:eastAsia="標楷體" w:hAnsi="Times New Roman" w:cs="Times New Roman"/>
                <w:color w:val="000000" w:themeColor="text1"/>
                <w:sz w:val="28"/>
                <w:szCs w:val="28"/>
                <w:lang w:eastAsia="zh-CN"/>
              </w:rPr>
              <w:t>目前這是歷史上第二長的</w:t>
            </w:r>
            <w:r w:rsidR="0019499E">
              <w:rPr>
                <w:rFonts w:ascii="Times New Roman" w:eastAsia="標楷體" w:hAnsi="Times New Roman" w:cs="Times New Roman" w:hint="eastAsia"/>
                <w:bCs/>
                <w:color w:val="000000" w:themeColor="text1"/>
                <w:sz w:val="28"/>
                <w:szCs w:val="28"/>
                <w:lang w:eastAsia="zh-CN"/>
              </w:rPr>
              <w:t>復甦</w:t>
            </w:r>
            <w:r w:rsidR="00704A4E" w:rsidRPr="00633CF8">
              <w:rPr>
                <w:rFonts w:ascii="Times New Roman" w:eastAsia="標楷體" w:hAnsi="Times New Roman" w:cs="Times New Roman"/>
                <w:color w:val="000000" w:themeColor="text1"/>
                <w:sz w:val="28"/>
                <w:szCs w:val="28"/>
                <w:lang w:eastAsia="zh-CN"/>
              </w:rPr>
              <w:t>，</w:t>
            </w:r>
            <w:r w:rsidR="00FF55A4" w:rsidRPr="00633CF8">
              <w:rPr>
                <w:rFonts w:ascii="Times New Roman" w:eastAsia="標楷體" w:hAnsi="Times New Roman" w:cs="Times New Roman"/>
                <w:color w:val="000000" w:themeColor="text1"/>
                <w:sz w:val="28"/>
                <w:szCs w:val="28"/>
                <w:lang w:eastAsia="zh-CN"/>
              </w:rPr>
              <w:t>僅次於</w:t>
            </w:r>
            <w:r w:rsidR="00FF55A4" w:rsidRPr="00633CF8">
              <w:rPr>
                <w:rFonts w:ascii="Times New Roman" w:eastAsia="標楷體" w:hAnsi="Times New Roman" w:cs="Times New Roman"/>
                <w:color w:val="000000" w:themeColor="text1"/>
                <w:sz w:val="28"/>
                <w:szCs w:val="28"/>
                <w:lang w:eastAsia="zh-CN"/>
              </w:rPr>
              <w:t>1991</w:t>
            </w:r>
            <w:r w:rsidR="00795A52" w:rsidRPr="00633CF8">
              <w:rPr>
                <w:rFonts w:ascii="Times New Roman" w:eastAsia="標楷體" w:hAnsi="Times New Roman" w:cs="Times New Roman"/>
                <w:color w:val="000000" w:themeColor="text1"/>
                <w:sz w:val="28"/>
                <w:szCs w:val="28"/>
                <w:lang w:eastAsia="zh-CN"/>
              </w:rPr>
              <w:t>年</w:t>
            </w:r>
            <w:r w:rsidR="00795A52" w:rsidRPr="00633CF8">
              <w:rPr>
                <w:rFonts w:ascii="Times New Roman" w:eastAsia="標楷體" w:hAnsi="Times New Roman" w:cs="Times New Roman"/>
                <w:color w:val="000000" w:themeColor="text1"/>
                <w:sz w:val="28"/>
                <w:szCs w:val="28"/>
                <w:lang w:eastAsia="zh-CN"/>
              </w:rPr>
              <w:t>4</w:t>
            </w:r>
            <w:r w:rsidR="00795A52" w:rsidRPr="00633CF8">
              <w:rPr>
                <w:rFonts w:ascii="Times New Roman" w:eastAsia="標楷體" w:hAnsi="Times New Roman" w:cs="Times New Roman"/>
                <w:color w:val="000000" w:themeColor="text1"/>
                <w:sz w:val="28"/>
                <w:szCs w:val="28"/>
                <w:lang w:eastAsia="zh-CN"/>
              </w:rPr>
              <w:t>月開始</w:t>
            </w:r>
            <w:r w:rsidR="0019499E">
              <w:rPr>
                <w:rFonts w:ascii="Times New Roman" w:eastAsia="標楷體" w:hAnsi="Times New Roman" w:cs="Times New Roman" w:hint="eastAsia"/>
                <w:bCs/>
                <w:color w:val="000000" w:themeColor="text1"/>
                <w:sz w:val="28"/>
                <w:szCs w:val="28"/>
                <w:lang w:eastAsia="zh-CN"/>
              </w:rPr>
              <w:t>復甦</w:t>
            </w:r>
            <w:r w:rsidR="00795A52" w:rsidRPr="00633CF8">
              <w:rPr>
                <w:rFonts w:ascii="Times New Roman" w:eastAsia="標楷體" w:hAnsi="Times New Roman" w:cs="Times New Roman"/>
                <w:color w:val="000000" w:themeColor="text1"/>
                <w:sz w:val="28"/>
                <w:szCs w:val="28"/>
                <w:lang w:eastAsia="zh-CN"/>
              </w:rPr>
              <w:t>而於</w:t>
            </w:r>
            <w:r w:rsidR="00795A52" w:rsidRPr="00633CF8">
              <w:rPr>
                <w:rFonts w:ascii="Times New Roman" w:eastAsia="標楷體" w:hAnsi="Times New Roman" w:cs="Times New Roman"/>
                <w:color w:val="000000" w:themeColor="text1"/>
                <w:sz w:val="28"/>
                <w:szCs w:val="28"/>
                <w:lang w:eastAsia="zh-CN"/>
              </w:rPr>
              <w:t>2001</w:t>
            </w:r>
            <w:r w:rsidR="00795A52" w:rsidRPr="00633CF8">
              <w:rPr>
                <w:rFonts w:ascii="Times New Roman" w:eastAsia="標楷體" w:hAnsi="Times New Roman" w:cs="Times New Roman"/>
                <w:color w:val="000000" w:themeColor="text1"/>
                <w:sz w:val="28"/>
                <w:szCs w:val="28"/>
                <w:lang w:eastAsia="zh-CN"/>
              </w:rPr>
              <w:t>年</w:t>
            </w:r>
            <w:r w:rsidR="00795A52" w:rsidRPr="00633CF8">
              <w:rPr>
                <w:rFonts w:ascii="Times New Roman" w:eastAsia="標楷體" w:hAnsi="Times New Roman" w:cs="Times New Roman"/>
                <w:color w:val="000000" w:themeColor="text1"/>
                <w:sz w:val="28"/>
                <w:szCs w:val="28"/>
                <w:lang w:eastAsia="zh-CN"/>
              </w:rPr>
              <w:t>3</w:t>
            </w:r>
            <w:r w:rsidR="00795A52" w:rsidRPr="00633CF8">
              <w:rPr>
                <w:rFonts w:ascii="Times New Roman" w:eastAsia="標楷體" w:hAnsi="Times New Roman" w:cs="Times New Roman"/>
                <w:color w:val="000000" w:themeColor="text1"/>
                <w:sz w:val="28"/>
                <w:szCs w:val="28"/>
                <w:lang w:eastAsia="zh-CN"/>
              </w:rPr>
              <w:t>月</w:t>
            </w:r>
            <w:r w:rsidR="008277CB" w:rsidRPr="00633CF8">
              <w:rPr>
                <w:rFonts w:ascii="Times New Roman" w:eastAsia="標楷體" w:hAnsi="Times New Roman" w:cs="Times New Roman"/>
                <w:color w:val="000000" w:themeColor="text1"/>
                <w:sz w:val="28"/>
                <w:szCs w:val="28"/>
                <w:lang w:eastAsia="zh-CN"/>
              </w:rPr>
              <w:t>碰頂長達</w:t>
            </w:r>
            <w:r w:rsidR="008277CB" w:rsidRPr="00633CF8">
              <w:rPr>
                <w:rFonts w:ascii="Times New Roman" w:eastAsia="標楷體" w:hAnsi="Times New Roman" w:cs="Times New Roman"/>
                <w:color w:val="000000" w:themeColor="text1"/>
                <w:sz w:val="28"/>
                <w:szCs w:val="28"/>
                <w:lang w:eastAsia="zh-CN"/>
              </w:rPr>
              <w:t>10</w:t>
            </w:r>
            <w:r w:rsidR="008277CB" w:rsidRPr="00633CF8">
              <w:rPr>
                <w:rFonts w:ascii="Times New Roman" w:eastAsia="標楷體" w:hAnsi="Times New Roman" w:cs="Times New Roman"/>
                <w:color w:val="000000" w:themeColor="text1"/>
                <w:sz w:val="28"/>
                <w:szCs w:val="28"/>
                <w:lang w:eastAsia="zh-CN"/>
              </w:rPr>
              <w:t>年的擴張期</w:t>
            </w:r>
            <w:r w:rsidR="007D0B37" w:rsidRPr="00633CF8">
              <w:rPr>
                <w:rFonts w:ascii="Times New Roman" w:eastAsia="標楷體" w:hAnsi="Times New Roman" w:cs="Times New Roman"/>
                <w:color w:val="000000" w:themeColor="text1"/>
                <w:sz w:val="28"/>
                <w:szCs w:val="28"/>
                <w:lang w:eastAsia="zh-CN"/>
              </w:rPr>
              <w:t>。</w:t>
            </w:r>
            <w:r w:rsidR="00620A4A" w:rsidRPr="00633CF8">
              <w:rPr>
                <w:rFonts w:ascii="Times New Roman" w:eastAsia="標楷體" w:hAnsi="Times New Roman" w:cs="Times New Roman"/>
                <w:color w:val="000000" w:themeColor="text1"/>
                <w:sz w:val="28"/>
                <w:szCs w:val="28"/>
                <w:lang w:eastAsia="zh-CN"/>
              </w:rPr>
              <w:t>但依國發會的景氣</w:t>
            </w:r>
            <w:r w:rsidR="005B1752" w:rsidRPr="00633CF8">
              <w:rPr>
                <w:rFonts w:ascii="Times New Roman" w:eastAsia="標楷體" w:hAnsi="Times New Roman" w:cs="Times New Roman"/>
                <w:color w:val="000000" w:themeColor="text1"/>
                <w:sz w:val="28"/>
                <w:szCs w:val="28"/>
                <w:lang w:eastAsia="zh-CN"/>
              </w:rPr>
              <w:t>循環指標之認定，</w:t>
            </w:r>
            <w:r w:rsidR="00D84361" w:rsidRPr="00633CF8">
              <w:rPr>
                <w:rFonts w:ascii="Times New Roman" w:eastAsia="標楷體" w:hAnsi="Times New Roman" w:cs="Times New Roman"/>
                <w:color w:val="000000" w:themeColor="text1"/>
                <w:sz w:val="28"/>
                <w:szCs w:val="28"/>
                <w:lang w:eastAsia="zh-CN"/>
              </w:rPr>
              <w:t>台灣</w:t>
            </w:r>
            <w:r w:rsidR="00F523EA" w:rsidRPr="00633CF8">
              <w:rPr>
                <w:rFonts w:ascii="Times New Roman" w:eastAsia="標楷體" w:hAnsi="Times New Roman" w:cs="Times New Roman"/>
                <w:color w:val="000000" w:themeColor="text1"/>
                <w:sz w:val="28"/>
                <w:szCs w:val="28"/>
                <w:lang w:eastAsia="zh-CN"/>
              </w:rPr>
              <w:t>整體經濟</w:t>
            </w:r>
            <w:r w:rsidR="006C285E" w:rsidRPr="00633CF8">
              <w:rPr>
                <w:rFonts w:ascii="Times New Roman" w:eastAsia="標楷體" w:hAnsi="Times New Roman" w:cs="Times New Roman"/>
                <w:color w:val="000000" w:themeColor="text1"/>
                <w:sz w:val="28"/>
                <w:szCs w:val="28"/>
                <w:lang w:eastAsia="zh-CN"/>
              </w:rPr>
              <w:t>自</w:t>
            </w:r>
            <w:r w:rsidR="006C285E" w:rsidRPr="00633CF8">
              <w:rPr>
                <w:rFonts w:ascii="Times New Roman" w:eastAsia="標楷體" w:hAnsi="Times New Roman" w:cs="Times New Roman"/>
                <w:color w:val="000000" w:themeColor="text1"/>
                <w:sz w:val="28"/>
                <w:szCs w:val="28"/>
                <w:lang w:eastAsia="zh-CN"/>
              </w:rPr>
              <w:t>2009</w:t>
            </w:r>
            <w:r w:rsidR="006C285E" w:rsidRPr="00633CF8">
              <w:rPr>
                <w:rFonts w:ascii="Times New Roman" w:eastAsia="標楷體" w:hAnsi="Times New Roman" w:cs="Times New Roman"/>
                <w:color w:val="000000" w:themeColor="text1"/>
                <w:sz w:val="28"/>
                <w:szCs w:val="28"/>
                <w:lang w:eastAsia="zh-CN"/>
              </w:rPr>
              <w:t>年</w:t>
            </w:r>
            <w:r w:rsidR="006C285E" w:rsidRPr="00633CF8">
              <w:rPr>
                <w:rFonts w:ascii="Times New Roman" w:eastAsia="標楷體" w:hAnsi="Times New Roman" w:cs="Times New Roman"/>
                <w:color w:val="000000" w:themeColor="text1"/>
                <w:sz w:val="28"/>
                <w:szCs w:val="28"/>
                <w:lang w:eastAsia="zh-CN"/>
              </w:rPr>
              <w:t>3</w:t>
            </w:r>
            <w:r w:rsidR="006C285E" w:rsidRPr="00633CF8">
              <w:rPr>
                <w:rFonts w:ascii="Times New Roman" w:eastAsia="標楷體" w:hAnsi="Times New Roman" w:cs="Times New Roman"/>
                <w:color w:val="000000" w:themeColor="text1"/>
                <w:sz w:val="28"/>
                <w:szCs w:val="28"/>
                <w:lang w:eastAsia="zh-CN"/>
              </w:rPr>
              <w:t>月</w:t>
            </w:r>
            <w:r w:rsidR="0019499E">
              <w:rPr>
                <w:rFonts w:ascii="Times New Roman" w:eastAsia="標楷體" w:hAnsi="Times New Roman" w:cs="Times New Roman" w:hint="eastAsia"/>
                <w:bCs/>
                <w:color w:val="000000" w:themeColor="text1"/>
                <w:sz w:val="28"/>
                <w:szCs w:val="28"/>
                <w:lang w:eastAsia="zh-CN"/>
              </w:rPr>
              <w:t>復甦</w:t>
            </w:r>
            <w:r w:rsidR="00F17E3A" w:rsidRPr="00633CF8">
              <w:rPr>
                <w:rFonts w:ascii="Times New Roman" w:eastAsia="標楷體" w:hAnsi="Times New Roman" w:cs="Times New Roman"/>
                <w:color w:val="000000" w:themeColor="text1"/>
                <w:sz w:val="28"/>
                <w:szCs w:val="28"/>
                <w:lang w:eastAsia="zh-CN"/>
              </w:rPr>
              <w:t>之後，</w:t>
            </w:r>
            <w:r w:rsidR="00AA01A3" w:rsidRPr="00633CF8">
              <w:rPr>
                <w:rFonts w:ascii="Times New Roman" w:eastAsia="標楷體" w:hAnsi="Times New Roman" w:cs="Times New Roman"/>
                <w:color w:val="000000" w:themeColor="text1"/>
                <w:sz w:val="28"/>
                <w:szCs w:val="28"/>
                <w:lang w:eastAsia="zh-CN"/>
              </w:rPr>
              <w:t>已再歷經</w:t>
            </w:r>
            <w:r w:rsidR="00611F98" w:rsidRPr="00633CF8">
              <w:rPr>
                <w:rFonts w:ascii="Times New Roman" w:eastAsia="標楷體" w:hAnsi="Times New Roman" w:cs="Times New Roman"/>
                <w:color w:val="000000" w:themeColor="text1"/>
                <w:sz w:val="28"/>
                <w:szCs w:val="28"/>
                <w:lang w:eastAsia="zh-CN"/>
              </w:rPr>
              <w:t>2011/3-</w:t>
            </w:r>
            <w:r w:rsidR="005D532C" w:rsidRPr="00633CF8">
              <w:rPr>
                <w:rFonts w:ascii="Times New Roman" w:eastAsia="標楷體" w:hAnsi="Times New Roman" w:cs="Times New Roman"/>
                <w:color w:val="000000" w:themeColor="text1"/>
                <w:sz w:val="28"/>
                <w:szCs w:val="28"/>
                <w:lang w:eastAsia="zh-CN"/>
              </w:rPr>
              <w:t>2012/1</w:t>
            </w:r>
            <w:r w:rsidR="005D532C" w:rsidRPr="00633CF8">
              <w:rPr>
                <w:rFonts w:ascii="Times New Roman" w:eastAsia="標楷體" w:hAnsi="Times New Roman" w:cs="Times New Roman"/>
                <w:color w:val="000000" w:themeColor="text1"/>
                <w:sz w:val="28"/>
                <w:szCs w:val="28"/>
                <w:lang w:eastAsia="zh-CN"/>
              </w:rPr>
              <w:t>及</w:t>
            </w:r>
            <w:r w:rsidR="005D532C" w:rsidRPr="00633CF8">
              <w:rPr>
                <w:rFonts w:ascii="Times New Roman" w:eastAsia="標楷體" w:hAnsi="Times New Roman" w:cs="Times New Roman"/>
                <w:color w:val="000000" w:themeColor="text1"/>
                <w:sz w:val="28"/>
                <w:szCs w:val="28"/>
                <w:lang w:eastAsia="zh-CN"/>
              </w:rPr>
              <w:t>2014/11-2016/2</w:t>
            </w:r>
            <w:r w:rsidR="000C3D10" w:rsidRPr="00633CF8">
              <w:rPr>
                <w:rFonts w:ascii="Times New Roman" w:eastAsia="標楷體" w:hAnsi="Times New Roman" w:cs="Times New Roman"/>
                <w:color w:val="000000" w:themeColor="text1"/>
                <w:sz w:val="28"/>
                <w:szCs w:val="28"/>
                <w:lang w:eastAsia="zh-CN"/>
              </w:rPr>
              <w:t>兩次的衰退。</w:t>
            </w:r>
            <w:r w:rsidR="00CC6F57" w:rsidRPr="00633CF8">
              <w:rPr>
                <w:rFonts w:ascii="Times New Roman" w:eastAsia="標楷體" w:hAnsi="Times New Roman" w:cs="Times New Roman"/>
                <w:color w:val="000000" w:themeColor="text1"/>
                <w:sz w:val="28"/>
                <w:szCs w:val="28"/>
                <w:lang w:eastAsia="zh-CN"/>
              </w:rPr>
              <w:t>同期間，</w:t>
            </w:r>
            <w:r w:rsidR="000C3D10" w:rsidRPr="00633CF8">
              <w:rPr>
                <w:rFonts w:ascii="Times New Roman" w:eastAsia="標楷體" w:hAnsi="Times New Roman" w:cs="Times New Roman"/>
                <w:color w:val="000000" w:themeColor="text1"/>
                <w:sz w:val="28"/>
                <w:szCs w:val="28"/>
                <w:lang w:eastAsia="zh-CN"/>
              </w:rPr>
              <w:t>商</w:t>
            </w:r>
            <w:r w:rsidR="00F523EA" w:rsidRPr="00633CF8">
              <w:rPr>
                <w:rFonts w:ascii="Times New Roman" w:eastAsia="標楷體" w:hAnsi="Times New Roman" w:cs="Times New Roman"/>
                <w:color w:val="000000" w:themeColor="text1"/>
                <w:sz w:val="28"/>
                <w:szCs w:val="28"/>
                <w:lang w:eastAsia="zh-CN"/>
              </w:rPr>
              <w:t>研院</w:t>
            </w:r>
            <w:r w:rsidR="00535FAB" w:rsidRPr="00633CF8">
              <w:rPr>
                <w:rFonts w:ascii="Times New Roman" w:eastAsia="標楷體" w:hAnsi="Times New Roman" w:cs="Times New Roman"/>
                <w:color w:val="000000" w:themeColor="text1"/>
                <w:sz w:val="28"/>
                <w:szCs w:val="28"/>
                <w:lang w:eastAsia="zh-CN"/>
              </w:rPr>
              <w:t>研究也認定</w:t>
            </w:r>
            <w:r w:rsidR="00F52EBE" w:rsidRPr="00633CF8">
              <w:rPr>
                <w:rFonts w:ascii="Times New Roman" w:eastAsia="標楷體" w:hAnsi="Times New Roman" w:cs="Times New Roman"/>
                <w:color w:val="000000" w:themeColor="text1"/>
                <w:sz w:val="28"/>
                <w:szCs w:val="28"/>
                <w:lang w:eastAsia="zh-CN"/>
              </w:rPr>
              <w:t>台灣的</w:t>
            </w:r>
            <w:r w:rsidR="00F523EA" w:rsidRPr="00633CF8">
              <w:rPr>
                <w:rFonts w:ascii="Times New Roman" w:eastAsia="標楷體" w:hAnsi="Times New Roman" w:cs="Times New Roman"/>
                <w:color w:val="000000" w:themeColor="text1"/>
                <w:sz w:val="28"/>
                <w:szCs w:val="28"/>
                <w:lang w:eastAsia="zh-CN"/>
              </w:rPr>
              <w:t>商業</w:t>
            </w:r>
            <w:r w:rsidR="0068714B" w:rsidRPr="00633CF8">
              <w:rPr>
                <w:rFonts w:ascii="Times New Roman" w:eastAsia="標楷體" w:hAnsi="Times New Roman" w:cs="Times New Roman"/>
                <w:color w:val="000000" w:themeColor="text1"/>
                <w:sz w:val="28"/>
                <w:szCs w:val="28"/>
                <w:lang w:eastAsia="zh-CN"/>
              </w:rPr>
              <w:t>服務業</w:t>
            </w:r>
            <w:r w:rsidR="001C2F5A" w:rsidRPr="00633CF8">
              <w:rPr>
                <w:rFonts w:ascii="Times New Roman" w:eastAsia="標楷體" w:hAnsi="Times New Roman" w:cs="Times New Roman"/>
                <w:color w:val="000000" w:themeColor="text1"/>
                <w:sz w:val="28"/>
                <w:szCs w:val="28"/>
                <w:lang w:eastAsia="zh-CN"/>
              </w:rPr>
              <w:t>自</w:t>
            </w:r>
            <w:r w:rsidR="001C2F5A" w:rsidRPr="00633CF8">
              <w:rPr>
                <w:rFonts w:ascii="Times New Roman" w:eastAsia="標楷體" w:hAnsi="Times New Roman" w:cs="Times New Roman"/>
                <w:color w:val="000000" w:themeColor="text1"/>
                <w:sz w:val="28"/>
                <w:szCs w:val="28"/>
                <w:lang w:eastAsia="zh-CN"/>
              </w:rPr>
              <w:t>2009</w:t>
            </w:r>
            <w:r w:rsidR="001C2F5A" w:rsidRPr="00633CF8">
              <w:rPr>
                <w:rFonts w:ascii="Times New Roman" w:eastAsia="標楷體" w:hAnsi="Times New Roman" w:cs="Times New Roman"/>
                <w:color w:val="000000" w:themeColor="text1"/>
                <w:sz w:val="28"/>
                <w:szCs w:val="28"/>
                <w:lang w:eastAsia="zh-CN"/>
              </w:rPr>
              <w:t>年</w:t>
            </w:r>
            <w:r w:rsidR="001C2F5A" w:rsidRPr="00633CF8">
              <w:rPr>
                <w:rFonts w:ascii="Times New Roman" w:eastAsia="標楷體" w:hAnsi="Times New Roman" w:cs="Times New Roman"/>
                <w:color w:val="000000" w:themeColor="text1"/>
                <w:sz w:val="28"/>
                <w:szCs w:val="28"/>
                <w:lang w:eastAsia="zh-CN"/>
              </w:rPr>
              <w:t>9</w:t>
            </w:r>
            <w:r w:rsidR="001C2F5A" w:rsidRPr="00633CF8">
              <w:rPr>
                <w:rFonts w:ascii="Times New Roman" w:eastAsia="標楷體" w:hAnsi="Times New Roman" w:cs="Times New Roman"/>
                <w:color w:val="000000" w:themeColor="text1"/>
                <w:sz w:val="28"/>
                <w:szCs w:val="28"/>
                <w:lang w:eastAsia="zh-CN"/>
              </w:rPr>
              <w:t>月</w:t>
            </w:r>
            <w:r w:rsidR="00535FAB" w:rsidRPr="00633CF8">
              <w:rPr>
                <w:rFonts w:ascii="Times New Roman" w:eastAsia="標楷體" w:hAnsi="Times New Roman" w:cs="Times New Roman"/>
                <w:color w:val="000000" w:themeColor="text1"/>
                <w:sz w:val="28"/>
                <w:szCs w:val="28"/>
                <w:lang w:eastAsia="zh-CN"/>
              </w:rPr>
              <w:t>開始</w:t>
            </w:r>
            <w:r w:rsidR="0019499E">
              <w:rPr>
                <w:rFonts w:ascii="Times New Roman" w:eastAsia="標楷體" w:hAnsi="Times New Roman" w:cs="Times New Roman" w:hint="eastAsia"/>
                <w:bCs/>
                <w:color w:val="000000" w:themeColor="text1"/>
                <w:sz w:val="28"/>
                <w:szCs w:val="28"/>
                <w:lang w:eastAsia="zh-CN"/>
              </w:rPr>
              <w:t>復甦</w:t>
            </w:r>
            <w:r w:rsidR="00F52EBE" w:rsidRPr="00633CF8">
              <w:rPr>
                <w:rFonts w:ascii="Times New Roman" w:eastAsia="標楷體" w:hAnsi="Times New Roman" w:cs="Times New Roman"/>
                <w:color w:val="000000" w:themeColor="text1"/>
                <w:sz w:val="28"/>
                <w:szCs w:val="28"/>
                <w:lang w:eastAsia="zh-CN"/>
              </w:rPr>
              <w:t>後</w:t>
            </w:r>
            <w:r w:rsidR="000251B9" w:rsidRPr="00633CF8">
              <w:rPr>
                <w:rFonts w:ascii="Times New Roman" w:eastAsia="標楷體" w:hAnsi="Times New Roman" w:cs="Times New Roman"/>
                <w:color w:val="000000" w:themeColor="text1"/>
                <w:sz w:val="28"/>
                <w:szCs w:val="28"/>
                <w:lang w:eastAsia="zh-CN"/>
              </w:rPr>
              <w:t>，也歷經</w:t>
            </w:r>
            <w:r w:rsidR="000251B9" w:rsidRPr="00633CF8">
              <w:rPr>
                <w:rFonts w:ascii="Times New Roman" w:eastAsia="標楷體" w:hAnsi="Times New Roman" w:cs="Times New Roman"/>
                <w:color w:val="000000" w:themeColor="text1"/>
                <w:sz w:val="28"/>
                <w:szCs w:val="28"/>
                <w:lang w:eastAsia="zh-CN"/>
              </w:rPr>
              <w:t>2011/9-2013</w:t>
            </w:r>
            <w:r w:rsidR="009B1FEE" w:rsidRPr="00633CF8">
              <w:rPr>
                <w:rFonts w:ascii="Times New Roman" w:eastAsia="標楷體" w:hAnsi="Times New Roman" w:cs="Times New Roman"/>
                <w:color w:val="000000" w:themeColor="text1"/>
                <w:sz w:val="28"/>
                <w:szCs w:val="28"/>
                <w:lang w:eastAsia="zh-CN"/>
              </w:rPr>
              <w:t>/7</w:t>
            </w:r>
            <w:r w:rsidR="009B1FEE" w:rsidRPr="00633CF8">
              <w:rPr>
                <w:rFonts w:ascii="Times New Roman" w:eastAsia="標楷體" w:hAnsi="Times New Roman" w:cs="Times New Roman"/>
                <w:color w:val="000000" w:themeColor="text1"/>
                <w:sz w:val="28"/>
                <w:szCs w:val="28"/>
                <w:lang w:eastAsia="zh-CN"/>
              </w:rPr>
              <w:t>及</w:t>
            </w:r>
            <w:r w:rsidR="009B1FEE" w:rsidRPr="00633CF8">
              <w:rPr>
                <w:rFonts w:ascii="Times New Roman" w:eastAsia="標楷體" w:hAnsi="Times New Roman" w:cs="Times New Roman"/>
                <w:color w:val="000000" w:themeColor="text1"/>
                <w:sz w:val="28"/>
                <w:szCs w:val="28"/>
                <w:lang w:eastAsia="zh-CN"/>
              </w:rPr>
              <w:t>2015/3-2017/4</w:t>
            </w:r>
            <w:r w:rsidR="008225CE" w:rsidRPr="00633CF8">
              <w:rPr>
                <w:rFonts w:ascii="Times New Roman" w:eastAsia="標楷體" w:hAnsi="Times New Roman" w:cs="Times New Roman"/>
                <w:color w:val="000000" w:themeColor="text1"/>
                <w:sz w:val="28"/>
                <w:szCs w:val="28"/>
                <w:lang w:eastAsia="zh-CN"/>
              </w:rPr>
              <w:t>兩次的衰退。國際景氣循環是否</w:t>
            </w:r>
            <w:r w:rsidR="00923525" w:rsidRPr="00633CF8">
              <w:rPr>
                <w:rFonts w:ascii="Times New Roman" w:eastAsia="標楷體" w:hAnsi="Times New Roman" w:cs="Times New Roman"/>
                <w:color w:val="000000" w:themeColor="text1"/>
                <w:sz w:val="28"/>
                <w:szCs w:val="28"/>
                <w:lang w:eastAsia="zh-CN"/>
              </w:rPr>
              <w:t>同步化的研究發現，只有像</w:t>
            </w:r>
            <w:r w:rsidR="00CA31BC" w:rsidRPr="00633CF8">
              <w:rPr>
                <w:rFonts w:ascii="Times New Roman" w:eastAsia="標楷體" w:hAnsi="Times New Roman" w:cs="Times New Roman"/>
                <w:color w:val="000000" w:themeColor="text1"/>
                <w:sz w:val="28"/>
                <w:szCs w:val="28"/>
                <w:lang w:eastAsia="zh-CN"/>
              </w:rPr>
              <w:t>1970</w:t>
            </w:r>
            <w:r w:rsidR="00CA31BC" w:rsidRPr="00633CF8">
              <w:rPr>
                <w:rFonts w:ascii="Times New Roman" w:eastAsia="標楷體" w:hAnsi="Times New Roman" w:cs="Times New Roman"/>
                <w:color w:val="000000" w:themeColor="text1"/>
                <w:sz w:val="28"/>
                <w:szCs w:val="28"/>
                <w:lang w:eastAsia="zh-CN"/>
              </w:rPr>
              <w:t>年代</w:t>
            </w:r>
            <w:r w:rsidR="00923525" w:rsidRPr="00633CF8">
              <w:rPr>
                <w:rFonts w:ascii="Times New Roman" w:eastAsia="標楷體" w:hAnsi="Times New Roman" w:cs="Times New Roman"/>
                <w:color w:val="000000" w:themeColor="text1"/>
                <w:sz w:val="28"/>
                <w:szCs w:val="28"/>
                <w:lang w:eastAsia="zh-CN"/>
              </w:rPr>
              <w:t>石油</w:t>
            </w:r>
            <w:r w:rsidR="00CA31BC" w:rsidRPr="00633CF8">
              <w:rPr>
                <w:rFonts w:ascii="Times New Roman" w:eastAsia="標楷體" w:hAnsi="Times New Roman" w:cs="Times New Roman"/>
                <w:color w:val="000000" w:themeColor="text1"/>
                <w:sz w:val="28"/>
                <w:szCs w:val="28"/>
                <w:lang w:eastAsia="zh-CN"/>
              </w:rPr>
              <w:t>危機及</w:t>
            </w:r>
            <w:r w:rsidR="00CA31BC" w:rsidRPr="00633CF8">
              <w:rPr>
                <w:rFonts w:ascii="Times New Roman" w:eastAsia="標楷體" w:hAnsi="Times New Roman" w:cs="Times New Roman"/>
                <w:color w:val="000000" w:themeColor="text1"/>
                <w:sz w:val="28"/>
                <w:szCs w:val="28"/>
                <w:lang w:eastAsia="zh-CN"/>
              </w:rPr>
              <w:t>2008</w:t>
            </w:r>
            <w:r w:rsidR="00B259DD" w:rsidRPr="00633CF8">
              <w:rPr>
                <w:rFonts w:ascii="Times New Roman" w:eastAsia="標楷體" w:hAnsi="Times New Roman" w:cs="Times New Roman"/>
                <w:color w:val="000000" w:themeColor="text1"/>
                <w:sz w:val="28"/>
                <w:szCs w:val="28"/>
                <w:lang w:eastAsia="zh-CN"/>
              </w:rPr>
              <w:t>金融海嘯這樣</w:t>
            </w:r>
            <w:r w:rsidR="002C295B" w:rsidRPr="00633CF8">
              <w:rPr>
                <w:rFonts w:ascii="Times New Roman" w:eastAsia="標楷體" w:hAnsi="Times New Roman" w:cs="Times New Roman"/>
                <w:color w:val="000000" w:themeColor="text1"/>
                <w:sz w:val="28"/>
                <w:szCs w:val="28"/>
                <w:lang w:eastAsia="zh-CN"/>
              </w:rPr>
              <w:t>重大的世界經濟危機才有讓各國景氣循環</w:t>
            </w:r>
            <w:r w:rsidR="00CE4F07" w:rsidRPr="00633CF8">
              <w:rPr>
                <w:rFonts w:ascii="Times New Roman" w:eastAsia="標楷體" w:hAnsi="Times New Roman" w:cs="Times New Roman"/>
                <w:color w:val="000000" w:themeColor="text1"/>
                <w:sz w:val="28"/>
                <w:szCs w:val="28"/>
                <w:lang w:eastAsia="zh-CN"/>
              </w:rPr>
              <w:t>同步化</w:t>
            </w:r>
            <w:r w:rsidR="00796663" w:rsidRPr="00633CF8">
              <w:rPr>
                <w:rFonts w:ascii="Times New Roman" w:eastAsia="標楷體" w:hAnsi="Times New Roman" w:cs="Times New Roman"/>
                <w:color w:val="000000" w:themeColor="text1"/>
                <w:sz w:val="28"/>
                <w:szCs w:val="28"/>
                <w:lang w:eastAsia="zh-CN"/>
              </w:rPr>
              <w:t>的</w:t>
            </w:r>
            <w:r w:rsidR="00CE4F07" w:rsidRPr="00633CF8">
              <w:rPr>
                <w:rFonts w:ascii="Times New Roman" w:eastAsia="標楷體" w:hAnsi="Times New Roman" w:cs="Times New Roman"/>
                <w:color w:val="000000" w:themeColor="text1"/>
                <w:sz w:val="28"/>
                <w:szCs w:val="28"/>
                <w:lang w:eastAsia="zh-CN"/>
              </w:rPr>
              <w:t>可能，否則</w:t>
            </w:r>
            <w:r w:rsidR="00A143B1" w:rsidRPr="00633CF8">
              <w:rPr>
                <w:rFonts w:ascii="Times New Roman" w:eastAsia="標楷體" w:hAnsi="Times New Roman" w:cs="Times New Roman"/>
                <w:color w:val="000000" w:themeColor="text1"/>
                <w:sz w:val="28"/>
                <w:szCs w:val="28"/>
                <w:lang w:eastAsia="zh-CN"/>
              </w:rPr>
              <w:t>依各國</w:t>
            </w:r>
            <w:r w:rsidR="00BE4FF7" w:rsidRPr="00633CF8">
              <w:rPr>
                <w:rFonts w:ascii="Times New Roman" w:eastAsia="標楷體" w:hAnsi="Times New Roman" w:cs="Times New Roman"/>
                <w:color w:val="000000" w:themeColor="text1"/>
                <w:sz w:val="28"/>
                <w:szCs w:val="28"/>
                <w:lang w:eastAsia="zh-CN"/>
              </w:rPr>
              <w:t>依</w:t>
            </w:r>
            <w:r w:rsidR="00A143B1" w:rsidRPr="00633CF8">
              <w:rPr>
                <w:rFonts w:ascii="Times New Roman" w:eastAsia="標楷體" w:hAnsi="Times New Roman" w:cs="Times New Roman"/>
                <w:color w:val="000000" w:themeColor="text1"/>
                <w:sz w:val="28"/>
                <w:szCs w:val="28"/>
                <w:lang w:eastAsia="zh-CN"/>
              </w:rPr>
              <w:t>各自經濟結構</w:t>
            </w:r>
            <w:r w:rsidR="002A2490" w:rsidRPr="00633CF8">
              <w:rPr>
                <w:rFonts w:ascii="Times New Roman" w:eastAsia="標楷體" w:hAnsi="Times New Roman" w:cs="Times New Roman"/>
                <w:color w:val="000000" w:themeColor="text1"/>
                <w:sz w:val="28"/>
                <w:szCs w:val="28"/>
                <w:lang w:eastAsia="zh-CN"/>
              </w:rPr>
              <w:t>、</w:t>
            </w:r>
            <w:r w:rsidR="004A6C74" w:rsidRPr="00633CF8">
              <w:rPr>
                <w:rFonts w:ascii="Times New Roman" w:eastAsia="標楷體" w:hAnsi="Times New Roman" w:cs="Times New Roman"/>
                <w:color w:val="000000" w:themeColor="text1"/>
                <w:sz w:val="28"/>
                <w:szCs w:val="28"/>
                <w:lang w:eastAsia="zh-CN"/>
              </w:rPr>
              <w:t>對外貿易連結</w:t>
            </w:r>
            <w:r w:rsidR="002A2490" w:rsidRPr="00633CF8">
              <w:rPr>
                <w:rFonts w:ascii="Times New Roman" w:eastAsia="標楷體" w:hAnsi="Times New Roman" w:cs="Times New Roman"/>
                <w:color w:val="000000" w:themeColor="text1"/>
                <w:sz w:val="28"/>
                <w:szCs w:val="28"/>
                <w:lang w:eastAsia="zh-CN"/>
              </w:rPr>
              <w:t>、</w:t>
            </w:r>
            <w:r w:rsidR="004A6C74" w:rsidRPr="00633CF8">
              <w:rPr>
                <w:rFonts w:ascii="Times New Roman" w:eastAsia="標楷體" w:hAnsi="Times New Roman" w:cs="Times New Roman"/>
                <w:color w:val="000000" w:themeColor="text1"/>
                <w:sz w:val="28"/>
                <w:szCs w:val="28"/>
                <w:lang w:eastAsia="zh-CN"/>
              </w:rPr>
              <w:t>國際</w:t>
            </w:r>
            <w:r w:rsidR="002424E8" w:rsidRPr="00633CF8">
              <w:rPr>
                <w:rFonts w:ascii="Times New Roman" w:eastAsia="標楷體" w:hAnsi="Times New Roman" w:cs="Times New Roman"/>
                <w:color w:val="000000" w:themeColor="text1"/>
                <w:sz w:val="28"/>
                <w:szCs w:val="28"/>
                <w:lang w:eastAsia="zh-CN"/>
              </w:rPr>
              <w:t>金融</w:t>
            </w:r>
            <w:r w:rsidR="004A6C74" w:rsidRPr="00633CF8">
              <w:rPr>
                <w:rFonts w:ascii="Times New Roman" w:eastAsia="標楷體" w:hAnsi="Times New Roman" w:cs="Times New Roman"/>
                <w:color w:val="000000" w:themeColor="text1"/>
                <w:sz w:val="28"/>
                <w:szCs w:val="28"/>
                <w:lang w:eastAsia="zh-CN"/>
              </w:rPr>
              <w:t>融合</w:t>
            </w:r>
            <w:r w:rsidR="002A2490" w:rsidRPr="00633CF8">
              <w:rPr>
                <w:rFonts w:ascii="Times New Roman" w:eastAsia="標楷體" w:hAnsi="Times New Roman" w:cs="Times New Roman"/>
                <w:color w:val="000000" w:themeColor="text1"/>
                <w:sz w:val="28"/>
                <w:szCs w:val="28"/>
                <w:lang w:eastAsia="zh-CN"/>
              </w:rPr>
              <w:t>、</w:t>
            </w:r>
            <w:r w:rsidR="002424E8" w:rsidRPr="00633CF8">
              <w:rPr>
                <w:rFonts w:ascii="Times New Roman" w:eastAsia="標楷體" w:hAnsi="Times New Roman" w:cs="Times New Roman"/>
                <w:color w:val="000000" w:themeColor="text1"/>
                <w:sz w:val="28"/>
                <w:szCs w:val="28"/>
                <w:lang w:eastAsia="zh-CN"/>
              </w:rPr>
              <w:t>財政結構</w:t>
            </w:r>
            <w:r w:rsidR="002A2490" w:rsidRPr="00633CF8">
              <w:rPr>
                <w:rFonts w:ascii="Times New Roman" w:eastAsia="標楷體" w:hAnsi="Times New Roman" w:cs="Times New Roman"/>
                <w:color w:val="000000" w:themeColor="text1"/>
                <w:sz w:val="28"/>
                <w:szCs w:val="28"/>
                <w:lang w:eastAsia="zh-CN"/>
              </w:rPr>
              <w:t>、</w:t>
            </w:r>
            <w:r w:rsidR="002A34AA" w:rsidRPr="00633CF8">
              <w:rPr>
                <w:rFonts w:ascii="Times New Roman" w:eastAsia="標楷體" w:hAnsi="Times New Roman" w:cs="Times New Roman"/>
                <w:color w:val="000000" w:themeColor="text1"/>
                <w:sz w:val="28"/>
                <w:szCs w:val="28"/>
                <w:lang w:eastAsia="zh-CN"/>
              </w:rPr>
              <w:t>經濟政策</w:t>
            </w:r>
            <w:r w:rsidR="002424E8" w:rsidRPr="00633CF8">
              <w:rPr>
                <w:rFonts w:ascii="Times New Roman" w:eastAsia="標楷體" w:hAnsi="Times New Roman" w:cs="Times New Roman"/>
                <w:color w:val="000000" w:themeColor="text1"/>
                <w:sz w:val="28"/>
                <w:szCs w:val="28"/>
                <w:lang w:eastAsia="zh-CN"/>
              </w:rPr>
              <w:t>等情況不同</w:t>
            </w:r>
            <w:r w:rsidR="002A34AA" w:rsidRPr="00633CF8">
              <w:rPr>
                <w:rFonts w:ascii="Times New Roman" w:eastAsia="標楷體" w:hAnsi="Times New Roman" w:cs="Times New Roman"/>
                <w:color w:val="000000" w:themeColor="text1"/>
                <w:sz w:val="28"/>
                <w:szCs w:val="28"/>
                <w:lang w:eastAsia="zh-CN"/>
              </w:rPr>
              <w:t>而有自己的景氣循環</w:t>
            </w:r>
            <w:r w:rsidR="002A2490" w:rsidRPr="00633CF8">
              <w:rPr>
                <w:rFonts w:ascii="Times New Roman" w:eastAsia="標楷體" w:hAnsi="Times New Roman" w:cs="Times New Roman"/>
                <w:color w:val="000000" w:themeColor="text1"/>
                <w:sz w:val="28"/>
                <w:szCs w:val="28"/>
                <w:lang w:eastAsia="zh-CN"/>
              </w:rPr>
              <w:t>行為。</w:t>
            </w:r>
            <w:r w:rsidR="00F3799E" w:rsidRPr="00633CF8">
              <w:rPr>
                <w:rFonts w:ascii="Times New Roman" w:eastAsia="標楷體" w:hAnsi="Times New Roman" w:cs="Times New Roman"/>
                <w:color w:val="000000" w:themeColor="text1"/>
                <w:sz w:val="28"/>
                <w:szCs w:val="28"/>
                <w:lang w:eastAsia="zh-CN"/>
              </w:rPr>
              <w:t>換言之，</w:t>
            </w:r>
            <w:r w:rsidR="00433461" w:rsidRPr="00633CF8">
              <w:rPr>
                <w:rFonts w:ascii="Times New Roman" w:eastAsia="標楷體" w:hAnsi="Times New Roman" w:cs="Times New Roman"/>
                <w:color w:val="000000" w:themeColor="text1"/>
                <w:sz w:val="28"/>
                <w:szCs w:val="28"/>
                <w:lang w:eastAsia="zh-CN"/>
              </w:rPr>
              <w:t>各國</w:t>
            </w:r>
            <w:r w:rsidR="00180FCA" w:rsidRPr="00633CF8">
              <w:rPr>
                <w:rFonts w:ascii="Times New Roman" w:eastAsia="標楷體" w:hAnsi="Times New Roman" w:cs="Times New Roman"/>
                <w:color w:val="000000" w:themeColor="text1"/>
                <w:sz w:val="28"/>
                <w:szCs w:val="28"/>
                <w:lang w:eastAsia="zh-CN"/>
              </w:rPr>
              <w:t>均有屬於自己的</w:t>
            </w:r>
            <w:r w:rsidR="00F3799E" w:rsidRPr="00633CF8">
              <w:rPr>
                <w:rFonts w:ascii="Times New Roman" w:eastAsia="標楷體" w:hAnsi="Times New Roman" w:cs="Times New Roman"/>
                <w:color w:val="000000" w:themeColor="text1"/>
                <w:sz w:val="28"/>
                <w:szCs w:val="28"/>
                <w:lang w:eastAsia="zh-CN"/>
              </w:rPr>
              <w:t>景氣循環的</w:t>
            </w:r>
            <w:r w:rsidR="00FF5106" w:rsidRPr="00633CF8">
              <w:rPr>
                <w:rFonts w:ascii="Times New Roman" w:eastAsia="標楷體" w:hAnsi="Times New Roman" w:cs="Times New Roman"/>
                <w:color w:val="000000" w:themeColor="text1"/>
                <w:sz w:val="28"/>
                <w:szCs w:val="28"/>
                <w:lang w:eastAsia="zh-CN"/>
              </w:rPr>
              <w:t>因應空間</w:t>
            </w:r>
            <w:r w:rsidR="00180FCA" w:rsidRPr="00633CF8">
              <w:rPr>
                <w:rFonts w:ascii="Times New Roman" w:eastAsia="標楷體" w:hAnsi="Times New Roman" w:cs="Times New Roman"/>
                <w:color w:val="000000" w:themeColor="text1"/>
                <w:sz w:val="28"/>
                <w:szCs w:val="28"/>
                <w:lang w:eastAsia="zh-CN"/>
              </w:rPr>
              <w:t>與機會，當然</w:t>
            </w:r>
            <w:r w:rsidR="00212ACC" w:rsidRPr="00633CF8">
              <w:rPr>
                <w:rFonts w:ascii="Times New Roman" w:eastAsia="標楷體" w:hAnsi="Times New Roman" w:cs="Times New Roman"/>
                <w:color w:val="000000" w:themeColor="text1"/>
                <w:sz w:val="28"/>
                <w:szCs w:val="28"/>
                <w:lang w:eastAsia="zh-CN"/>
              </w:rPr>
              <w:t>經濟安定與成長</w:t>
            </w:r>
            <w:r w:rsidR="00ED33EA" w:rsidRPr="00633CF8">
              <w:rPr>
                <w:rFonts w:ascii="Times New Roman" w:eastAsia="標楷體" w:hAnsi="Times New Roman" w:cs="Times New Roman"/>
                <w:color w:val="000000" w:themeColor="text1"/>
                <w:sz w:val="28"/>
                <w:szCs w:val="28"/>
                <w:lang w:eastAsia="zh-CN"/>
              </w:rPr>
              <w:t>主要</w:t>
            </w:r>
            <w:r w:rsidR="00212ACC" w:rsidRPr="00633CF8">
              <w:rPr>
                <w:rFonts w:ascii="Times New Roman" w:eastAsia="標楷體" w:hAnsi="Times New Roman" w:cs="Times New Roman"/>
                <w:color w:val="000000" w:themeColor="text1"/>
                <w:sz w:val="28"/>
                <w:szCs w:val="28"/>
                <w:lang w:eastAsia="zh-CN"/>
              </w:rPr>
              <w:t>也是自己的</w:t>
            </w:r>
            <w:r w:rsidR="001268B6" w:rsidRPr="00633CF8">
              <w:rPr>
                <w:rFonts w:ascii="Times New Roman" w:eastAsia="標楷體" w:hAnsi="Times New Roman" w:cs="Times New Roman"/>
                <w:color w:val="000000" w:themeColor="text1"/>
                <w:sz w:val="28"/>
                <w:szCs w:val="28"/>
                <w:lang w:eastAsia="zh-CN"/>
              </w:rPr>
              <w:t>責任。</w:t>
            </w:r>
          </w:p>
          <w:p w14:paraId="21089317" w14:textId="744F4B64" w:rsidR="00091EED" w:rsidRPr="00633CF8" w:rsidRDefault="00091EED" w:rsidP="000F79D3">
            <w:pPr>
              <w:adjustRightInd w:val="0"/>
              <w:ind w:firstLineChars="200" w:firstLine="560"/>
              <w:rPr>
                <w:rFonts w:ascii="Times New Roman" w:eastAsia="標楷體" w:hAnsi="Times New Roman" w:cs="Times New Roman"/>
                <w:color w:val="000000" w:themeColor="text1"/>
                <w:sz w:val="28"/>
                <w:szCs w:val="28"/>
                <w:lang w:eastAsia="zh-CN"/>
              </w:rPr>
            </w:pPr>
            <w:r w:rsidRPr="00633CF8">
              <w:rPr>
                <w:rFonts w:ascii="Times New Roman" w:eastAsia="標楷體" w:hAnsi="Times New Roman" w:cs="Times New Roman"/>
                <w:color w:val="000000" w:themeColor="text1"/>
                <w:sz w:val="28"/>
                <w:szCs w:val="28"/>
                <w:lang w:eastAsia="zh-CN"/>
              </w:rPr>
              <w:t>但</w:t>
            </w:r>
            <w:r w:rsidR="003A5FFC" w:rsidRPr="00633CF8">
              <w:rPr>
                <w:rFonts w:ascii="Times New Roman" w:eastAsia="標楷體" w:hAnsi="Times New Roman" w:cs="Times New Roman"/>
                <w:color w:val="000000" w:themeColor="text1"/>
                <w:sz w:val="28"/>
                <w:szCs w:val="28"/>
                <w:lang w:eastAsia="zh-CN"/>
              </w:rPr>
              <w:t>有效需求</w:t>
            </w:r>
            <w:r w:rsidR="004E332B" w:rsidRPr="00633CF8">
              <w:rPr>
                <w:rFonts w:ascii="Times New Roman" w:eastAsia="標楷體" w:hAnsi="Times New Roman" w:cs="Times New Roman"/>
                <w:color w:val="000000" w:themeColor="text1"/>
                <w:sz w:val="28"/>
                <w:szCs w:val="28"/>
                <w:lang w:eastAsia="zh-CN"/>
              </w:rPr>
              <w:t>本</w:t>
            </w:r>
            <w:r w:rsidR="004664DA" w:rsidRPr="00633CF8">
              <w:rPr>
                <w:rFonts w:ascii="Times New Roman" w:eastAsia="標楷體" w:hAnsi="Times New Roman" w:cs="Times New Roman"/>
                <w:color w:val="000000" w:themeColor="text1"/>
                <w:sz w:val="28"/>
                <w:szCs w:val="28"/>
                <w:lang w:eastAsia="zh-CN"/>
              </w:rPr>
              <w:t>質上</w:t>
            </w:r>
            <w:r w:rsidR="004E332B" w:rsidRPr="00633CF8">
              <w:rPr>
                <w:rFonts w:ascii="Times New Roman" w:eastAsia="標楷體" w:hAnsi="Times New Roman" w:cs="Times New Roman"/>
                <w:color w:val="000000" w:themeColor="text1"/>
                <w:sz w:val="28"/>
                <w:szCs w:val="28"/>
                <w:lang w:eastAsia="zh-CN"/>
              </w:rPr>
              <w:t>是在</w:t>
            </w:r>
            <w:r w:rsidR="003D2329" w:rsidRPr="00633CF8">
              <w:rPr>
                <w:rFonts w:ascii="Times New Roman" w:eastAsia="標楷體" w:hAnsi="Times New Roman" w:cs="Times New Roman"/>
                <w:color w:val="000000" w:themeColor="text1"/>
                <w:sz w:val="28"/>
                <w:szCs w:val="28"/>
                <w:lang w:eastAsia="zh-CN"/>
              </w:rPr>
              <w:t>「</w:t>
            </w:r>
            <w:r w:rsidR="004E332B" w:rsidRPr="00633CF8">
              <w:rPr>
                <w:rFonts w:ascii="Times New Roman" w:eastAsia="標楷體" w:hAnsi="Times New Roman" w:cs="Times New Roman"/>
                <w:color w:val="000000" w:themeColor="text1"/>
                <w:sz w:val="28"/>
                <w:szCs w:val="28"/>
                <w:lang w:eastAsia="zh-CN"/>
              </w:rPr>
              <w:t>實現</w:t>
            </w:r>
            <w:r w:rsidR="003D2329" w:rsidRPr="00633CF8">
              <w:rPr>
                <w:rFonts w:ascii="Times New Roman" w:eastAsia="標楷體" w:hAnsi="Times New Roman" w:cs="Times New Roman"/>
                <w:color w:val="000000" w:themeColor="text1"/>
                <w:sz w:val="28"/>
                <w:szCs w:val="28"/>
                <w:lang w:eastAsia="zh-CN"/>
              </w:rPr>
              <w:t>」</w:t>
            </w:r>
            <w:r w:rsidR="004E332B" w:rsidRPr="00633CF8">
              <w:rPr>
                <w:rFonts w:ascii="Times New Roman" w:eastAsia="標楷體" w:hAnsi="Times New Roman" w:cs="Times New Roman"/>
                <w:color w:val="000000" w:themeColor="text1"/>
                <w:sz w:val="28"/>
                <w:szCs w:val="28"/>
                <w:lang w:eastAsia="zh-CN"/>
              </w:rPr>
              <w:t>利潤</w:t>
            </w:r>
            <w:r w:rsidR="00506D34" w:rsidRPr="00633CF8">
              <w:rPr>
                <w:rFonts w:ascii="Times New Roman" w:eastAsia="標楷體" w:hAnsi="Times New Roman" w:cs="Times New Roman"/>
                <w:color w:val="000000" w:themeColor="text1"/>
                <w:sz w:val="28"/>
                <w:szCs w:val="28"/>
                <w:lang w:eastAsia="zh-CN"/>
              </w:rPr>
              <w:t>而非</w:t>
            </w:r>
            <w:r w:rsidR="003D2329" w:rsidRPr="00633CF8">
              <w:rPr>
                <w:rFonts w:ascii="Times New Roman" w:eastAsia="標楷體" w:hAnsi="Times New Roman" w:cs="Times New Roman"/>
                <w:color w:val="000000" w:themeColor="text1"/>
                <w:sz w:val="28"/>
                <w:szCs w:val="28"/>
                <w:lang w:eastAsia="zh-CN"/>
              </w:rPr>
              <w:t>「</w:t>
            </w:r>
            <w:r w:rsidR="00506D34" w:rsidRPr="00633CF8">
              <w:rPr>
                <w:rFonts w:ascii="Times New Roman" w:eastAsia="標楷體" w:hAnsi="Times New Roman" w:cs="Times New Roman"/>
                <w:color w:val="000000" w:themeColor="text1"/>
                <w:sz w:val="28"/>
                <w:szCs w:val="28"/>
                <w:lang w:eastAsia="zh-CN"/>
              </w:rPr>
              <w:t>創造</w:t>
            </w:r>
            <w:r w:rsidR="003D2329" w:rsidRPr="00633CF8">
              <w:rPr>
                <w:rFonts w:ascii="Times New Roman" w:eastAsia="標楷體" w:hAnsi="Times New Roman" w:cs="Times New Roman"/>
                <w:color w:val="000000" w:themeColor="text1"/>
                <w:sz w:val="28"/>
                <w:szCs w:val="28"/>
                <w:lang w:eastAsia="zh-CN"/>
              </w:rPr>
              <w:t>」</w:t>
            </w:r>
            <w:r w:rsidR="00506D34" w:rsidRPr="00633CF8">
              <w:rPr>
                <w:rFonts w:ascii="Times New Roman" w:eastAsia="標楷體" w:hAnsi="Times New Roman" w:cs="Times New Roman"/>
                <w:color w:val="000000" w:themeColor="text1"/>
                <w:sz w:val="28"/>
                <w:szCs w:val="28"/>
                <w:lang w:eastAsia="zh-CN"/>
              </w:rPr>
              <w:t>利潤</w:t>
            </w:r>
            <w:r w:rsidR="00D04247" w:rsidRPr="00633CF8">
              <w:rPr>
                <w:rFonts w:ascii="Times New Roman" w:eastAsia="標楷體" w:hAnsi="Times New Roman" w:cs="Times New Roman"/>
                <w:color w:val="000000" w:themeColor="text1"/>
                <w:sz w:val="28"/>
                <w:szCs w:val="28"/>
                <w:lang w:eastAsia="zh-CN"/>
              </w:rPr>
              <w:t>，利潤</w:t>
            </w:r>
            <w:r w:rsidR="00CB3818" w:rsidRPr="00633CF8">
              <w:rPr>
                <w:rFonts w:ascii="Times New Roman" w:eastAsia="標楷體" w:hAnsi="Times New Roman" w:cs="Times New Roman"/>
                <w:color w:val="000000" w:themeColor="text1"/>
                <w:sz w:val="28"/>
                <w:szCs w:val="28"/>
                <w:lang w:eastAsia="zh-CN"/>
              </w:rPr>
              <w:t>的創造源自供給面的</w:t>
            </w:r>
            <w:r w:rsidR="0026250A" w:rsidRPr="00633CF8">
              <w:rPr>
                <w:rFonts w:ascii="Times New Roman" w:eastAsia="標楷體" w:hAnsi="Times New Roman" w:cs="Times New Roman"/>
                <w:color w:val="000000" w:themeColor="text1"/>
                <w:sz w:val="28"/>
                <w:szCs w:val="28"/>
                <w:lang w:eastAsia="zh-CN"/>
              </w:rPr>
              <w:t>開</w:t>
            </w:r>
            <w:r w:rsidR="00CA78E6" w:rsidRPr="00633CF8">
              <w:rPr>
                <w:rFonts w:ascii="Times New Roman" w:eastAsia="標楷體" w:hAnsi="Times New Roman" w:cs="Times New Roman"/>
                <w:color w:val="000000" w:themeColor="text1"/>
                <w:sz w:val="28"/>
                <w:szCs w:val="28"/>
                <w:lang w:eastAsia="zh-CN"/>
              </w:rPr>
              <w:t>創</w:t>
            </w:r>
            <w:r w:rsidR="0026250A" w:rsidRPr="00633CF8">
              <w:rPr>
                <w:rFonts w:ascii="Times New Roman" w:eastAsia="標楷體" w:hAnsi="Times New Roman" w:cs="Times New Roman"/>
                <w:color w:val="000000" w:themeColor="text1"/>
                <w:sz w:val="28"/>
                <w:szCs w:val="28"/>
                <w:lang w:eastAsia="zh-CN"/>
              </w:rPr>
              <w:t>與</w:t>
            </w:r>
            <w:r w:rsidR="00CB3818" w:rsidRPr="00633CF8">
              <w:rPr>
                <w:rFonts w:ascii="Times New Roman" w:eastAsia="標楷體" w:hAnsi="Times New Roman" w:cs="Times New Roman"/>
                <w:color w:val="000000" w:themeColor="text1"/>
                <w:sz w:val="28"/>
                <w:szCs w:val="28"/>
                <w:lang w:eastAsia="zh-CN"/>
              </w:rPr>
              <w:t>改革，</w:t>
            </w:r>
            <w:r w:rsidR="006814DC" w:rsidRPr="00633CF8">
              <w:rPr>
                <w:rFonts w:ascii="Times New Roman" w:eastAsia="標楷體" w:hAnsi="Times New Roman" w:cs="Times New Roman"/>
                <w:color w:val="000000" w:themeColor="text1"/>
                <w:sz w:val="28"/>
                <w:szCs w:val="28"/>
                <w:lang w:eastAsia="zh-CN"/>
              </w:rPr>
              <w:t>投資意願與行動、</w:t>
            </w:r>
            <w:r w:rsidR="0012700D" w:rsidRPr="00633CF8">
              <w:rPr>
                <w:rFonts w:ascii="Times New Roman" w:eastAsia="標楷體" w:hAnsi="Times New Roman" w:cs="Times New Roman"/>
                <w:color w:val="000000" w:themeColor="text1"/>
                <w:sz w:val="28"/>
                <w:szCs w:val="28"/>
                <w:lang w:eastAsia="zh-CN"/>
              </w:rPr>
              <w:t>商業策略與管理</w:t>
            </w:r>
            <w:r w:rsidR="008A6386" w:rsidRPr="00633CF8">
              <w:rPr>
                <w:rFonts w:ascii="Times New Roman" w:eastAsia="標楷體" w:hAnsi="Times New Roman" w:cs="Times New Roman"/>
                <w:color w:val="000000" w:themeColor="text1"/>
                <w:sz w:val="28"/>
                <w:szCs w:val="28"/>
                <w:lang w:eastAsia="zh-CN"/>
              </w:rPr>
              <w:t>、</w:t>
            </w:r>
            <w:r w:rsidR="00693F1D" w:rsidRPr="00633CF8">
              <w:rPr>
                <w:rFonts w:ascii="Times New Roman" w:eastAsia="標楷體" w:hAnsi="Times New Roman" w:cs="Times New Roman"/>
                <w:color w:val="000000" w:themeColor="text1"/>
                <w:sz w:val="28"/>
                <w:szCs w:val="28"/>
                <w:lang w:eastAsia="zh-CN"/>
              </w:rPr>
              <w:t>技術革新</w:t>
            </w:r>
            <w:r w:rsidR="008C7109" w:rsidRPr="00633CF8">
              <w:rPr>
                <w:rFonts w:ascii="Times New Roman" w:eastAsia="標楷體" w:hAnsi="Times New Roman" w:cs="Times New Roman"/>
                <w:color w:val="000000" w:themeColor="text1"/>
                <w:sz w:val="28"/>
                <w:szCs w:val="28"/>
                <w:lang w:eastAsia="zh-CN"/>
              </w:rPr>
              <w:t>、</w:t>
            </w:r>
            <w:r w:rsidR="00693F1D" w:rsidRPr="00633CF8">
              <w:rPr>
                <w:rFonts w:ascii="Times New Roman" w:eastAsia="標楷體" w:hAnsi="Times New Roman" w:cs="Times New Roman"/>
                <w:color w:val="000000" w:themeColor="text1"/>
                <w:sz w:val="28"/>
                <w:szCs w:val="28"/>
                <w:lang w:eastAsia="zh-CN"/>
              </w:rPr>
              <w:t>價值創新</w:t>
            </w:r>
            <w:r w:rsidR="008C7109" w:rsidRPr="00633CF8">
              <w:rPr>
                <w:rFonts w:ascii="Times New Roman" w:eastAsia="標楷體" w:hAnsi="Times New Roman" w:cs="Times New Roman"/>
                <w:color w:val="000000" w:themeColor="text1"/>
                <w:sz w:val="28"/>
                <w:szCs w:val="28"/>
                <w:lang w:eastAsia="zh-CN"/>
              </w:rPr>
              <w:t>、</w:t>
            </w:r>
            <w:r w:rsidR="009D0BB0" w:rsidRPr="00633CF8">
              <w:rPr>
                <w:rFonts w:ascii="Times New Roman" w:eastAsia="標楷體" w:hAnsi="Times New Roman" w:cs="Times New Roman"/>
                <w:color w:val="000000" w:themeColor="text1"/>
                <w:sz w:val="28"/>
                <w:szCs w:val="28"/>
                <w:lang w:eastAsia="zh-CN"/>
              </w:rPr>
              <w:t>制度改革</w:t>
            </w:r>
            <w:r w:rsidR="008C7109" w:rsidRPr="00633CF8">
              <w:rPr>
                <w:rFonts w:ascii="Times New Roman" w:eastAsia="標楷體" w:hAnsi="Times New Roman" w:cs="Times New Roman"/>
                <w:color w:val="000000" w:themeColor="text1"/>
                <w:sz w:val="28"/>
                <w:szCs w:val="28"/>
                <w:lang w:eastAsia="zh-CN"/>
              </w:rPr>
              <w:t>、</w:t>
            </w:r>
            <w:r w:rsidR="000661DA" w:rsidRPr="00633CF8">
              <w:rPr>
                <w:rFonts w:ascii="Times New Roman" w:eastAsia="標楷體" w:hAnsi="Times New Roman" w:cs="Times New Roman"/>
                <w:color w:val="000000" w:themeColor="text1"/>
                <w:sz w:val="28"/>
                <w:szCs w:val="28"/>
                <w:lang w:eastAsia="zh-CN"/>
              </w:rPr>
              <w:t>結構升級</w:t>
            </w:r>
            <w:r w:rsidR="008C7109" w:rsidRPr="00633CF8">
              <w:rPr>
                <w:rFonts w:ascii="Times New Roman" w:eastAsia="標楷體" w:hAnsi="Times New Roman" w:cs="Times New Roman"/>
                <w:color w:val="000000" w:themeColor="text1"/>
                <w:sz w:val="28"/>
                <w:szCs w:val="28"/>
                <w:lang w:eastAsia="zh-CN"/>
              </w:rPr>
              <w:t>、</w:t>
            </w:r>
            <w:r w:rsidR="009D0BB0" w:rsidRPr="00633CF8">
              <w:rPr>
                <w:rFonts w:ascii="Times New Roman" w:eastAsia="標楷體" w:hAnsi="Times New Roman" w:cs="Times New Roman"/>
                <w:color w:val="000000" w:themeColor="text1"/>
                <w:sz w:val="28"/>
                <w:szCs w:val="28"/>
                <w:lang w:eastAsia="zh-CN"/>
              </w:rPr>
              <w:t>企業與經濟轉型</w:t>
            </w:r>
            <w:r w:rsidR="00D0041F" w:rsidRPr="00633CF8">
              <w:rPr>
                <w:rFonts w:ascii="Times New Roman" w:eastAsia="標楷體" w:hAnsi="Times New Roman" w:cs="Times New Roman"/>
                <w:color w:val="000000" w:themeColor="text1"/>
                <w:sz w:val="28"/>
                <w:szCs w:val="28"/>
                <w:lang w:eastAsia="zh-CN"/>
              </w:rPr>
              <w:t>等皆是。</w:t>
            </w:r>
            <w:r w:rsidR="001268B6" w:rsidRPr="00633CF8">
              <w:rPr>
                <w:rFonts w:ascii="Times New Roman" w:eastAsia="標楷體" w:hAnsi="Times New Roman" w:cs="Times New Roman"/>
                <w:color w:val="000000" w:themeColor="text1"/>
                <w:sz w:val="28"/>
                <w:szCs w:val="28"/>
                <w:lang w:eastAsia="zh-CN"/>
              </w:rPr>
              <w:t>上述本</w:t>
            </w:r>
            <w:r w:rsidR="003C7EAA" w:rsidRPr="00633CF8">
              <w:rPr>
                <w:rFonts w:ascii="Times New Roman" w:eastAsia="標楷體" w:hAnsi="Times New Roman" w:cs="Times New Roman"/>
                <w:color w:val="000000" w:themeColor="text1"/>
                <w:sz w:val="28"/>
                <w:szCs w:val="28"/>
                <w:lang w:eastAsia="zh-CN"/>
              </w:rPr>
              <w:t>景氣循環</w:t>
            </w:r>
            <w:r w:rsidR="001268B6" w:rsidRPr="00633CF8">
              <w:rPr>
                <w:rFonts w:ascii="Times New Roman" w:eastAsia="標楷體" w:hAnsi="Times New Roman" w:cs="Times New Roman"/>
                <w:color w:val="000000" w:themeColor="text1"/>
                <w:sz w:val="28"/>
                <w:szCs w:val="28"/>
                <w:lang w:eastAsia="zh-CN"/>
              </w:rPr>
              <w:t>指標</w:t>
            </w:r>
            <w:r w:rsidR="00901849" w:rsidRPr="00633CF8">
              <w:rPr>
                <w:rFonts w:ascii="Times New Roman" w:eastAsia="標楷體" w:hAnsi="Times New Roman" w:cs="Times New Roman"/>
                <w:color w:val="000000" w:themeColor="text1"/>
                <w:sz w:val="28"/>
                <w:szCs w:val="28"/>
                <w:lang w:eastAsia="zh-CN"/>
              </w:rPr>
              <w:t>行為的分析，雖然</w:t>
            </w:r>
            <w:r w:rsidR="000A0330" w:rsidRPr="00633CF8">
              <w:rPr>
                <w:rFonts w:ascii="Times New Roman" w:eastAsia="標楷體" w:hAnsi="Times New Roman" w:cs="Times New Roman"/>
                <w:color w:val="000000" w:themeColor="text1"/>
                <w:sz w:val="28"/>
                <w:szCs w:val="28"/>
                <w:lang w:eastAsia="zh-CN"/>
              </w:rPr>
              <w:t>透過</w:t>
            </w:r>
            <w:r w:rsidR="003D3F80" w:rsidRPr="00633CF8">
              <w:rPr>
                <w:rFonts w:ascii="Times New Roman" w:eastAsia="標楷體" w:hAnsi="Times New Roman" w:cs="Times New Roman"/>
                <w:color w:val="000000" w:themeColor="text1"/>
                <w:sz w:val="28"/>
                <w:szCs w:val="28"/>
                <w:lang w:eastAsia="zh-CN"/>
              </w:rPr>
              <w:t>某些</w:t>
            </w:r>
            <w:r w:rsidR="000A0330" w:rsidRPr="00633CF8">
              <w:rPr>
                <w:rFonts w:ascii="Times New Roman" w:eastAsia="標楷體" w:hAnsi="Times New Roman" w:cs="Times New Roman"/>
                <w:color w:val="000000" w:themeColor="text1"/>
                <w:sz w:val="28"/>
                <w:szCs w:val="28"/>
                <w:lang w:eastAsia="zh-CN"/>
              </w:rPr>
              <w:t>子指標</w:t>
            </w:r>
            <w:r w:rsidR="00EA60BA" w:rsidRPr="00633CF8">
              <w:rPr>
                <w:rFonts w:ascii="Times New Roman" w:eastAsia="標楷體" w:hAnsi="Times New Roman" w:cs="Times New Roman"/>
                <w:color w:val="000000" w:themeColor="text1"/>
                <w:sz w:val="28"/>
                <w:szCs w:val="28"/>
                <w:lang w:eastAsia="zh-CN"/>
              </w:rPr>
              <w:t>可能</w:t>
            </w:r>
            <w:r w:rsidR="00A35B24" w:rsidRPr="00633CF8">
              <w:rPr>
                <w:rFonts w:ascii="Times New Roman" w:eastAsia="標楷體" w:hAnsi="Times New Roman" w:cs="Times New Roman"/>
                <w:color w:val="000000" w:themeColor="text1"/>
                <w:sz w:val="28"/>
                <w:szCs w:val="28"/>
                <w:lang w:eastAsia="zh-CN"/>
              </w:rPr>
              <w:t>也關係到</w:t>
            </w:r>
            <w:r w:rsidR="00B863BD" w:rsidRPr="00633CF8">
              <w:rPr>
                <w:rFonts w:ascii="Times New Roman" w:eastAsia="標楷體" w:hAnsi="Times New Roman" w:cs="Times New Roman"/>
                <w:color w:val="000000" w:themeColor="text1"/>
                <w:sz w:val="28"/>
                <w:szCs w:val="28"/>
                <w:lang w:eastAsia="zh-CN"/>
              </w:rPr>
              <w:t>不同波長循環，例如建築循環，</w:t>
            </w:r>
            <w:r w:rsidR="00002E4F" w:rsidRPr="00633CF8">
              <w:rPr>
                <w:rFonts w:ascii="Times New Roman" w:eastAsia="標楷體" w:hAnsi="Times New Roman" w:cs="Times New Roman"/>
                <w:color w:val="000000" w:themeColor="text1"/>
                <w:sz w:val="28"/>
                <w:szCs w:val="28"/>
                <w:lang w:eastAsia="zh-CN"/>
              </w:rPr>
              <w:t>資本設備循環，</w:t>
            </w:r>
            <w:r w:rsidR="00002E4F" w:rsidRPr="00633CF8">
              <w:rPr>
                <w:rFonts w:ascii="Times New Roman" w:eastAsia="標楷體" w:hAnsi="Times New Roman" w:cs="Times New Roman"/>
                <w:color w:val="000000" w:themeColor="text1"/>
                <w:sz w:val="28"/>
                <w:szCs w:val="28"/>
                <w:lang w:eastAsia="zh-CN"/>
              </w:rPr>
              <w:t>50</w:t>
            </w:r>
            <w:r w:rsidR="00002E4F" w:rsidRPr="00633CF8">
              <w:rPr>
                <w:rFonts w:ascii="Times New Roman" w:eastAsia="標楷體" w:hAnsi="Times New Roman" w:cs="Times New Roman"/>
                <w:color w:val="000000" w:themeColor="text1"/>
                <w:sz w:val="28"/>
                <w:szCs w:val="28"/>
                <w:lang w:eastAsia="zh-CN"/>
              </w:rPr>
              <w:t>年循環，</w:t>
            </w:r>
            <w:r w:rsidR="003D3F80" w:rsidRPr="00633CF8">
              <w:rPr>
                <w:rFonts w:ascii="Times New Roman" w:eastAsia="標楷體" w:hAnsi="Times New Roman" w:cs="Times New Roman"/>
                <w:color w:val="000000" w:themeColor="text1"/>
                <w:sz w:val="28"/>
                <w:szCs w:val="28"/>
                <w:lang w:eastAsia="zh-CN"/>
              </w:rPr>
              <w:t>而</w:t>
            </w:r>
            <w:r w:rsidR="00492B94" w:rsidRPr="00633CF8">
              <w:rPr>
                <w:rFonts w:ascii="Times New Roman" w:eastAsia="標楷體" w:hAnsi="Times New Roman" w:cs="Times New Roman"/>
                <w:color w:val="000000" w:themeColor="text1"/>
                <w:sz w:val="28"/>
                <w:szCs w:val="28"/>
                <w:lang w:eastAsia="zh-CN"/>
              </w:rPr>
              <w:t>隱含</w:t>
            </w:r>
            <w:r w:rsidR="003D3F80" w:rsidRPr="00633CF8">
              <w:rPr>
                <w:rFonts w:ascii="Times New Roman" w:eastAsia="標楷體" w:hAnsi="Times New Roman" w:cs="Times New Roman"/>
                <w:color w:val="000000" w:themeColor="text1"/>
                <w:sz w:val="28"/>
                <w:szCs w:val="28"/>
                <w:lang w:eastAsia="zh-CN"/>
              </w:rPr>
              <w:t>結構性</w:t>
            </w:r>
            <w:r w:rsidR="00740225" w:rsidRPr="00633CF8">
              <w:rPr>
                <w:rFonts w:ascii="Times New Roman" w:eastAsia="標楷體" w:hAnsi="Times New Roman" w:cs="Times New Roman"/>
                <w:color w:val="000000" w:themeColor="text1"/>
                <w:sz w:val="28"/>
                <w:szCs w:val="28"/>
                <w:lang w:eastAsia="zh-CN"/>
              </w:rPr>
              <w:t>因</w:t>
            </w:r>
            <w:r w:rsidR="00492B94" w:rsidRPr="00633CF8">
              <w:rPr>
                <w:rFonts w:ascii="Times New Roman" w:eastAsia="標楷體" w:hAnsi="Times New Roman" w:cs="Times New Roman"/>
                <w:color w:val="000000" w:themeColor="text1"/>
                <w:sz w:val="28"/>
                <w:szCs w:val="28"/>
                <w:lang w:eastAsia="zh-CN"/>
              </w:rPr>
              <w:t>素，但到底</w:t>
            </w:r>
            <w:r w:rsidR="008162A3" w:rsidRPr="00633CF8">
              <w:rPr>
                <w:rFonts w:ascii="Times New Roman" w:eastAsia="標楷體" w:hAnsi="Times New Roman" w:cs="Times New Roman"/>
                <w:color w:val="000000" w:themeColor="text1"/>
                <w:sz w:val="28"/>
                <w:szCs w:val="28"/>
                <w:lang w:eastAsia="zh-CN"/>
              </w:rPr>
              <w:t>不是個</w:t>
            </w:r>
            <w:r w:rsidR="004A677C" w:rsidRPr="00633CF8">
              <w:rPr>
                <w:rFonts w:ascii="Times New Roman" w:eastAsia="標楷體" w:hAnsi="Times New Roman" w:cs="Times New Roman"/>
                <w:color w:val="000000" w:themeColor="text1"/>
                <w:sz w:val="28"/>
                <w:szCs w:val="28"/>
                <w:lang w:eastAsia="zh-CN"/>
              </w:rPr>
              <w:t>涉及系統性長期趨勢的</w:t>
            </w:r>
            <w:r w:rsidR="003C7EAA" w:rsidRPr="00633CF8">
              <w:rPr>
                <w:rFonts w:ascii="Times New Roman" w:eastAsia="標楷體" w:hAnsi="Times New Roman" w:cs="Times New Roman"/>
                <w:color w:val="000000" w:themeColor="text1"/>
                <w:sz w:val="28"/>
                <w:szCs w:val="28"/>
                <w:lang w:eastAsia="zh-CN"/>
              </w:rPr>
              <w:t>研究。</w:t>
            </w:r>
            <w:r w:rsidR="00F23C40" w:rsidRPr="00633CF8">
              <w:rPr>
                <w:rFonts w:ascii="Times New Roman" w:eastAsia="標楷體" w:hAnsi="Times New Roman" w:cs="Times New Roman"/>
                <w:color w:val="000000" w:themeColor="text1"/>
                <w:sz w:val="28"/>
                <w:szCs w:val="28"/>
                <w:lang w:eastAsia="zh-CN"/>
              </w:rPr>
              <w:t>無法在</w:t>
            </w:r>
            <w:r w:rsidR="0003451A" w:rsidRPr="00633CF8">
              <w:rPr>
                <w:rFonts w:ascii="Times New Roman" w:eastAsia="標楷體" w:hAnsi="Times New Roman" w:cs="Times New Roman"/>
                <w:color w:val="000000" w:themeColor="text1"/>
                <w:sz w:val="28"/>
                <w:szCs w:val="28"/>
                <w:lang w:eastAsia="zh-CN"/>
              </w:rPr>
              <w:t>這百年</w:t>
            </w:r>
            <w:r w:rsidR="00D77C2B" w:rsidRPr="00633CF8">
              <w:rPr>
                <w:rFonts w:ascii="Times New Roman" w:eastAsia="標楷體" w:hAnsi="Times New Roman" w:cs="Times New Roman"/>
                <w:color w:val="000000" w:themeColor="text1"/>
                <w:sz w:val="28"/>
                <w:szCs w:val="28"/>
                <w:lang w:eastAsia="zh-CN"/>
              </w:rPr>
              <w:t>一次的世界經濟大變革</w:t>
            </w:r>
            <w:r w:rsidR="00B12E16" w:rsidRPr="00633CF8">
              <w:rPr>
                <w:rFonts w:ascii="Times New Roman" w:eastAsia="標楷體" w:hAnsi="Times New Roman" w:cs="Times New Roman"/>
                <w:color w:val="000000" w:themeColor="text1"/>
                <w:sz w:val="28"/>
                <w:szCs w:val="28"/>
                <w:lang w:eastAsia="zh-CN"/>
              </w:rPr>
              <w:t>，所謂</w:t>
            </w:r>
            <w:r w:rsidR="00B12E16" w:rsidRPr="00633CF8">
              <w:rPr>
                <w:rFonts w:ascii="Times New Roman" w:eastAsia="標楷體" w:hAnsi="Times New Roman" w:cs="Times New Roman"/>
                <w:color w:val="000000" w:themeColor="text1"/>
                <w:sz w:val="28"/>
                <w:szCs w:val="28"/>
                <w:lang w:eastAsia="zh-CN"/>
              </w:rPr>
              <w:t>VUCA</w:t>
            </w:r>
            <w:r w:rsidR="00B12E16" w:rsidRPr="00633CF8">
              <w:rPr>
                <w:rFonts w:ascii="Times New Roman" w:eastAsia="標楷體" w:hAnsi="Times New Roman" w:cs="Times New Roman"/>
                <w:color w:val="000000" w:themeColor="text1"/>
                <w:sz w:val="28"/>
                <w:szCs w:val="28"/>
                <w:lang w:eastAsia="zh-CN"/>
              </w:rPr>
              <w:t>時代，</w:t>
            </w:r>
            <w:r w:rsidR="00353981" w:rsidRPr="00633CF8">
              <w:rPr>
                <w:rFonts w:ascii="Times New Roman" w:eastAsia="標楷體" w:hAnsi="Times New Roman" w:cs="Times New Roman"/>
                <w:color w:val="000000" w:themeColor="text1"/>
                <w:sz w:val="28"/>
                <w:szCs w:val="28"/>
                <w:lang w:eastAsia="zh-CN"/>
              </w:rPr>
              <w:t>提供較完整有效的</w:t>
            </w:r>
            <w:r w:rsidR="00565E47" w:rsidRPr="00633CF8">
              <w:rPr>
                <w:rFonts w:ascii="Times New Roman" w:eastAsia="標楷體" w:hAnsi="Times New Roman" w:cs="Times New Roman"/>
                <w:color w:val="000000" w:themeColor="text1"/>
                <w:sz w:val="28"/>
                <w:szCs w:val="28"/>
                <w:lang w:eastAsia="zh-CN"/>
              </w:rPr>
              <w:t>經濟政策或商業策略參</w:t>
            </w:r>
            <w:r w:rsidR="00565E47" w:rsidRPr="00633CF8">
              <w:rPr>
                <w:rFonts w:ascii="Times New Roman" w:eastAsia="標楷體" w:hAnsi="Times New Roman" w:cs="Times New Roman"/>
                <w:color w:val="000000" w:themeColor="text1"/>
                <w:sz w:val="28"/>
                <w:szCs w:val="28"/>
                <w:lang w:eastAsia="zh-CN"/>
              </w:rPr>
              <w:lastRenderedPageBreak/>
              <w:t>考</w:t>
            </w:r>
            <w:r w:rsidR="00A60475" w:rsidRPr="00633CF8">
              <w:rPr>
                <w:rFonts w:ascii="Times New Roman" w:eastAsia="標楷體" w:hAnsi="Times New Roman" w:cs="Times New Roman"/>
                <w:color w:val="000000" w:themeColor="text1"/>
                <w:sz w:val="28"/>
                <w:szCs w:val="28"/>
                <w:lang w:eastAsia="zh-CN"/>
              </w:rPr>
              <w:t>，</w:t>
            </w:r>
            <w:r w:rsidR="0040316E" w:rsidRPr="00633CF8">
              <w:rPr>
                <w:rFonts w:ascii="Times New Roman" w:eastAsia="標楷體" w:hAnsi="Times New Roman" w:cs="Times New Roman"/>
                <w:color w:val="000000" w:themeColor="text1"/>
                <w:sz w:val="28"/>
                <w:szCs w:val="28"/>
                <w:lang w:eastAsia="zh-CN"/>
              </w:rPr>
              <w:t>尚祈</w:t>
            </w:r>
            <w:r w:rsidR="00EE193E" w:rsidRPr="00633CF8">
              <w:rPr>
                <w:rFonts w:ascii="Times New Roman" w:eastAsia="標楷體" w:hAnsi="Times New Roman" w:cs="Times New Roman"/>
                <w:color w:val="000000" w:themeColor="text1"/>
                <w:sz w:val="28"/>
                <w:szCs w:val="28"/>
                <w:lang w:eastAsia="zh-CN"/>
              </w:rPr>
              <w:t>參考</w:t>
            </w:r>
            <w:r w:rsidR="008725B1" w:rsidRPr="00633CF8">
              <w:rPr>
                <w:rFonts w:ascii="Times New Roman" w:eastAsia="標楷體" w:hAnsi="Times New Roman" w:cs="Times New Roman"/>
                <w:color w:val="000000" w:themeColor="text1"/>
                <w:sz w:val="28"/>
                <w:szCs w:val="28"/>
                <w:lang w:eastAsia="zh-CN"/>
              </w:rPr>
              <w:t>其他</w:t>
            </w:r>
            <w:r w:rsidR="00EE193E" w:rsidRPr="00633CF8">
              <w:rPr>
                <w:rFonts w:ascii="Times New Roman" w:eastAsia="標楷體" w:hAnsi="Times New Roman" w:cs="Times New Roman"/>
                <w:color w:val="000000" w:themeColor="text1"/>
                <w:sz w:val="28"/>
                <w:szCs w:val="28"/>
                <w:lang w:eastAsia="zh-CN"/>
              </w:rPr>
              <w:t>各</w:t>
            </w:r>
            <w:r w:rsidR="008725B1" w:rsidRPr="00633CF8">
              <w:rPr>
                <w:rFonts w:ascii="Times New Roman" w:eastAsia="標楷體" w:hAnsi="Times New Roman" w:cs="Times New Roman"/>
                <w:color w:val="000000" w:themeColor="text1"/>
                <w:sz w:val="28"/>
                <w:szCs w:val="28"/>
                <w:lang w:eastAsia="zh-CN"/>
              </w:rPr>
              <w:t>種</w:t>
            </w:r>
            <w:r w:rsidR="00B5440F" w:rsidRPr="00633CF8">
              <w:rPr>
                <w:rFonts w:ascii="Times New Roman" w:eastAsia="標楷體" w:hAnsi="Times New Roman" w:cs="Times New Roman"/>
                <w:color w:val="000000" w:themeColor="text1"/>
                <w:sz w:val="28"/>
                <w:szCs w:val="28"/>
                <w:lang w:eastAsia="zh-CN"/>
              </w:rPr>
              <w:t>更</w:t>
            </w:r>
            <w:r w:rsidR="00C102E5" w:rsidRPr="00633CF8">
              <w:rPr>
                <w:rFonts w:ascii="Times New Roman" w:eastAsia="標楷體" w:hAnsi="Times New Roman" w:cs="Times New Roman"/>
                <w:color w:val="000000" w:themeColor="text1"/>
                <w:sz w:val="28"/>
                <w:szCs w:val="28"/>
                <w:lang w:eastAsia="zh-CN"/>
              </w:rPr>
              <w:t>多有關</w:t>
            </w:r>
            <w:r w:rsidR="00B5440F" w:rsidRPr="00633CF8">
              <w:rPr>
                <w:rFonts w:ascii="Times New Roman" w:eastAsia="標楷體" w:hAnsi="Times New Roman" w:cs="Times New Roman"/>
                <w:color w:val="000000" w:themeColor="text1"/>
                <w:sz w:val="28"/>
                <w:szCs w:val="28"/>
                <w:lang w:eastAsia="zh-CN"/>
              </w:rPr>
              <w:t>專題</w:t>
            </w:r>
            <w:r w:rsidR="00A60475" w:rsidRPr="00633CF8">
              <w:rPr>
                <w:rFonts w:ascii="Times New Roman" w:eastAsia="標楷體" w:hAnsi="Times New Roman" w:cs="Times New Roman"/>
                <w:color w:val="000000" w:themeColor="text1"/>
                <w:sz w:val="28"/>
                <w:szCs w:val="28"/>
                <w:lang w:eastAsia="zh-CN"/>
              </w:rPr>
              <w:t>的研究。</w:t>
            </w:r>
          </w:p>
          <w:p w14:paraId="16EB1EE6" w14:textId="4F118D9C" w:rsidR="00A2762C" w:rsidRPr="00633CF8" w:rsidRDefault="00A2762C" w:rsidP="000F79D3">
            <w:pPr>
              <w:adjustRightInd w:val="0"/>
              <w:ind w:firstLineChars="200" w:firstLine="560"/>
              <w:rPr>
                <w:rFonts w:ascii="Times New Roman" w:eastAsia="SimSun" w:hAnsi="Times New Roman" w:cs="Times New Roman"/>
                <w:color w:val="000000" w:themeColor="text1"/>
                <w:sz w:val="28"/>
                <w:szCs w:val="28"/>
                <w:lang w:eastAsia="zh-CN"/>
              </w:rPr>
            </w:pPr>
            <w:r w:rsidRPr="00633CF8">
              <w:rPr>
                <w:rFonts w:ascii="Times New Roman" w:eastAsia="標楷體" w:hAnsi="Times New Roman" w:cs="Times New Roman"/>
                <w:color w:val="000000" w:themeColor="text1"/>
                <w:sz w:val="28"/>
                <w:szCs w:val="28"/>
                <w:lang w:eastAsia="zh-CN"/>
              </w:rPr>
              <w:t>例如，在</w:t>
            </w:r>
            <w:r w:rsidR="00A37D9E" w:rsidRPr="00633CF8">
              <w:rPr>
                <w:rFonts w:ascii="Times New Roman" w:eastAsia="標楷體" w:hAnsi="Times New Roman" w:cs="Times New Roman"/>
                <w:color w:val="000000" w:themeColor="text1"/>
                <w:sz w:val="28"/>
                <w:szCs w:val="28"/>
                <w:lang w:eastAsia="zh-CN"/>
              </w:rPr>
              <w:t>全球競逐</w:t>
            </w:r>
            <w:r w:rsidR="009D19DF" w:rsidRPr="00633CF8">
              <w:rPr>
                <w:rFonts w:ascii="Times New Roman" w:eastAsia="標楷體" w:hAnsi="Times New Roman" w:cs="Times New Roman"/>
                <w:color w:val="000000" w:themeColor="text1"/>
                <w:sz w:val="28"/>
                <w:szCs w:val="28"/>
                <w:lang w:eastAsia="zh-CN"/>
              </w:rPr>
              <w:t>經濟</w:t>
            </w:r>
            <w:r w:rsidRPr="00633CF8">
              <w:rPr>
                <w:rFonts w:ascii="Times New Roman" w:eastAsia="標楷體" w:hAnsi="Times New Roman" w:cs="Times New Roman"/>
                <w:color w:val="000000" w:themeColor="text1"/>
                <w:sz w:val="28"/>
                <w:szCs w:val="28"/>
                <w:lang w:eastAsia="zh-CN"/>
              </w:rPr>
              <w:t>數位轉型</w:t>
            </w:r>
            <w:r w:rsidR="00A37D9E" w:rsidRPr="00633CF8">
              <w:rPr>
                <w:rFonts w:ascii="Times New Roman" w:eastAsia="標楷體" w:hAnsi="Times New Roman" w:cs="Times New Roman"/>
                <w:color w:val="000000" w:themeColor="text1"/>
                <w:sz w:val="28"/>
                <w:szCs w:val="28"/>
                <w:lang w:eastAsia="zh-CN"/>
              </w:rPr>
              <w:t>如火如荼</w:t>
            </w:r>
            <w:r w:rsidR="009D19DF" w:rsidRPr="00633CF8">
              <w:rPr>
                <w:rFonts w:ascii="Times New Roman" w:eastAsia="標楷體" w:hAnsi="Times New Roman" w:cs="Times New Roman"/>
                <w:color w:val="000000" w:themeColor="text1"/>
                <w:sz w:val="28"/>
                <w:szCs w:val="28"/>
                <w:lang w:eastAsia="zh-CN"/>
              </w:rPr>
              <w:t>展開之際，</w:t>
            </w:r>
            <w:r w:rsidR="00A02ABC" w:rsidRPr="00633CF8">
              <w:rPr>
                <w:rFonts w:ascii="Times New Roman" w:eastAsia="標楷體" w:hAnsi="Times New Roman" w:cs="Times New Roman"/>
                <w:color w:val="000000" w:themeColor="text1"/>
                <w:sz w:val="28"/>
                <w:szCs w:val="28"/>
                <w:lang w:eastAsia="zh-CN"/>
              </w:rPr>
              <w:t>零售業</w:t>
            </w:r>
            <w:r w:rsidR="00BA2617" w:rsidRPr="00633CF8">
              <w:rPr>
                <w:rFonts w:ascii="Times New Roman" w:eastAsia="標楷體" w:hAnsi="Times New Roman" w:cs="Times New Roman"/>
                <w:color w:val="000000" w:themeColor="text1"/>
                <w:sz w:val="28"/>
                <w:szCs w:val="28"/>
                <w:lang w:eastAsia="zh-CN"/>
              </w:rPr>
              <w:t>結構變化</w:t>
            </w:r>
            <w:r w:rsidR="005D0445" w:rsidRPr="00633CF8">
              <w:rPr>
                <w:rFonts w:ascii="Times New Roman" w:eastAsia="標楷體" w:hAnsi="Times New Roman" w:cs="Times New Roman"/>
                <w:color w:val="000000" w:themeColor="text1"/>
                <w:sz w:val="28"/>
                <w:szCs w:val="28"/>
                <w:lang w:eastAsia="zh-CN"/>
              </w:rPr>
              <w:t>就極為明顯</w:t>
            </w:r>
            <w:r w:rsidR="00DF29CD" w:rsidRPr="00633CF8">
              <w:rPr>
                <w:rFonts w:ascii="Times New Roman" w:eastAsia="標楷體" w:hAnsi="Times New Roman" w:cs="Times New Roman"/>
                <w:color w:val="000000" w:themeColor="text1"/>
                <w:sz w:val="28"/>
                <w:szCs w:val="28"/>
                <w:lang w:eastAsia="zh-CN"/>
              </w:rPr>
              <w:t>。電子商務（</w:t>
            </w:r>
            <w:r w:rsidR="00DF29CD" w:rsidRPr="00633CF8">
              <w:rPr>
                <w:rFonts w:ascii="Times New Roman" w:eastAsia="標楷體" w:hAnsi="Times New Roman" w:cs="Times New Roman"/>
                <w:color w:val="000000" w:themeColor="text1"/>
                <w:sz w:val="28"/>
                <w:szCs w:val="28"/>
                <w:lang w:eastAsia="zh-CN"/>
              </w:rPr>
              <w:t>e-commerce</w:t>
            </w:r>
            <w:r w:rsidR="00DF29CD" w:rsidRPr="00633CF8">
              <w:rPr>
                <w:rFonts w:ascii="Times New Roman" w:eastAsia="標楷體" w:hAnsi="Times New Roman" w:cs="Times New Roman"/>
                <w:color w:val="000000" w:themeColor="text1"/>
                <w:sz w:val="28"/>
                <w:szCs w:val="28"/>
                <w:lang w:eastAsia="zh-CN"/>
              </w:rPr>
              <w:t>）</w:t>
            </w:r>
            <w:r w:rsidR="006506FA" w:rsidRPr="00633CF8">
              <w:rPr>
                <w:rFonts w:ascii="Times New Roman" w:eastAsia="標楷體" w:hAnsi="Times New Roman" w:cs="Times New Roman"/>
                <w:color w:val="000000" w:themeColor="text1"/>
                <w:sz w:val="28"/>
                <w:szCs w:val="28"/>
                <w:lang w:eastAsia="zh-CN"/>
              </w:rPr>
              <w:t>、行動商務（</w:t>
            </w:r>
            <w:r w:rsidR="006506FA" w:rsidRPr="00633CF8">
              <w:rPr>
                <w:rFonts w:ascii="Times New Roman" w:eastAsia="標楷體" w:hAnsi="Times New Roman" w:cs="Times New Roman"/>
                <w:color w:val="000000" w:themeColor="text1"/>
                <w:sz w:val="28"/>
                <w:szCs w:val="28"/>
                <w:lang w:eastAsia="zh-CN"/>
              </w:rPr>
              <w:t>m</w:t>
            </w:r>
            <w:r w:rsidR="000E74E0" w:rsidRPr="00633CF8">
              <w:rPr>
                <w:rFonts w:ascii="Times New Roman" w:eastAsia="標楷體" w:hAnsi="Times New Roman" w:cs="Times New Roman"/>
                <w:color w:val="000000" w:themeColor="text1"/>
                <w:sz w:val="28"/>
                <w:szCs w:val="28"/>
                <w:lang w:eastAsia="zh-CN"/>
              </w:rPr>
              <w:t>-</w:t>
            </w:r>
            <w:r w:rsidR="006506FA" w:rsidRPr="00633CF8">
              <w:rPr>
                <w:rFonts w:ascii="Times New Roman" w:eastAsia="標楷體" w:hAnsi="Times New Roman" w:cs="Times New Roman"/>
                <w:color w:val="000000" w:themeColor="text1"/>
                <w:sz w:val="28"/>
                <w:szCs w:val="28"/>
                <w:lang w:eastAsia="zh-CN"/>
              </w:rPr>
              <w:t>commerce</w:t>
            </w:r>
            <w:r w:rsidR="000E74E0" w:rsidRPr="00633CF8">
              <w:rPr>
                <w:rFonts w:ascii="Times New Roman" w:eastAsia="標楷體" w:hAnsi="Times New Roman" w:cs="Times New Roman"/>
                <w:color w:val="000000" w:themeColor="text1"/>
                <w:sz w:val="28"/>
                <w:szCs w:val="28"/>
                <w:lang w:eastAsia="zh-CN"/>
              </w:rPr>
              <w:t>）的線上</w:t>
            </w:r>
            <w:r w:rsidR="00CA1A3D" w:rsidRPr="00633CF8">
              <w:rPr>
                <w:rFonts w:ascii="Times New Roman" w:eastAsia="標楷體" w:hAnsi="Times New Roman" w:cs="Times New Roman"/>
                <w:color w:val="000000" w:themeColor="text1"/>
                <w:sz w:val="28"/>
                <w:szCs w:val="28"/>
                <w:lang w:eastAsia="zh-CN"/>
              </w:rPr>
              <w:t>交易與傳統實體商店交易模式</w:t>
            </w:r>
            <w:r w:rsidR="0019558B" w:rsidRPr="00633CF8">
              <w:rPr>
                <w:rFonts w:ascii="Times New Roman" w:eastAsia="標楷體" w:hAnsi="Times New Roman" w:cs="Times New Roman"/>
                <w:color w:val="000000" w:themeColor="text1"/>
                <w:sz w:val="28"/>
                <w:szCs w:val="28"/>
                <w:lang w:eastAsia="zh-CN"/>
              </w:rPr>
              <w:t>正從量變</w:t>
            </w:r>
            <w:r w:rsidR="00755006" w:rsidRPr="00633CF8">
              <w:rPr>
                <w:rFonts w:ascii="Times New Roman" w:eastAsia="標楷體" w:hAnsi="Times New Roman" w:cs="Times New Roman"/>
                <w:color w:val="000000" w:themeColor="text1"/>
                <w:sz w:val="28"/>
                <w:szCs w:val="28"/>
                <w:lang w:eastAsia="zh-CN"/>
              </w:rPr>
              <w:t>而</w:t>
            </w:r>
            <w:r w:rsidR="0019558B" w:rsidRPr="00633CF8">
              <w:rPr>
                <w:rFonts w:ascii="Times New Roman" w:eastAsia="標楷體" w:hAnsi="Times New Roman" w:cs="Times New Roman"/>
                <w:color w:val="000000" w:themeColor="text1"/>
                <w:sz w:val="28"/>
                <w:szCs w:val="28"/>
                <w:lang w:eastAsia="zh-CN"/>
              </w:rPr>
              <w:t>質變</w:t>
            </w:r>
            <w:r w:rsidR="003E2BE9" w:rsidRPr="00633CF8">
              <w:rPr>
                <w:rFonts w:ascii="Times New Roman" w:eastAsia="標楷體" w:hAnsi="Times New Roman" w:cs="Times New Roman"/>
                <w:color w:val="000000" w:themeColor="text1"/>
                <w:sz w:val="28"/>
                <w:szCs w:val="28"/>
                <w:lang w:eastAsia="zh-CN"/>
              </w:rPr>
              <w:t>行</w:t>
            </w:r>
            <w:r w:rsidR="00755006" w:rsidRPr="00633CF8">
              <w:rPr>
                <w:rFonts w:ascii="Times New Roman" w:eastAsia="標楷體" w:hAnsi="Times New Roman" w:cs="Times New Roman"/>
                <w:color w:val="000000" w:themeColor="text1"/>
                <w:sz w:val="28"/>
                <w:szCs w:val="28"/>
                <w:lang w:eastAsia="zh-CN"/>
              </w:rPr>
              <w:t>不斷的</w:t>
            </w:r>
            <w:r w:rsidR="003E2BE9" w:rsidRPr="00633CF8">
              <w:rPr>
                <w:rFonts w:ascii="Times New Roman" w:eastAsia="標楷體" w:hAnsi="Times New Roman" w:cs="Times New Roman"/>
                <w:color w:val="000000" w:themeColor="text1"/>
                <w:sz w:val="28"/>
                <w:szCs w:val="28"/>
                <w:lang w:eastAsia="zh-CN"/>
              </w:rPr>
              <w:t>結構改變。</w:t>
            </w:r>
            <w:r w:rsidR="003E2BE9" w:rsidRPr="00633CF8">
              <w:rPr>
                <w:rFonts w:ascii="Times New Roman" w:eastAsia="標楷體" w:hAnsi="Times New Roman" w:cs="Times New Roman"/>
                <w:color w:val="000000" w:themeColor="text1"/>
                <w:sz w:val="28"/>
                <w:szCs w:val="28"/>
                <w:lang w:eastAsia="zh-CN"/>
              </w:rPr>
              <w:t>eMarketer</w:t>
            </w:r>
            <w:r w:rsidR="009D460D" w:rsidRPr="00633CF8">
              <w:rPr>
                <w:rFonts w:ascii="Times New Roman" w:eastAsia="標楷體" w:hAnsi="Times New Roman" w:cs="Times New Roman"/>
                <w:color w:val="000000" w:themeColor="text1"/>
                <w:sz w:val="28"/>
                <w:szCs w:val="28"/>
                <w:lang w:eastAsia="zh-CN"/>
              </w:rPr>
              <w:t>調查統計</w:t>
            </w:r>
            <w:r w:rsidR="002C616C" w:rsidRPr="00633CF8">
              <w:rPr>
                <w:rFonts w:ascii="Times New Roman" w:eastAsia="標楷體" w:hAnsi="Times New Roman" w:cs="Times New Roman"/>
                <w:color w:val="000000" w:themeColor="text1"/>
                <w:sz w:val="28"/>
                <w:szCs w:val="28"/>
                <w:lang w:eastAsia="zh-CN"/>
              </w:rPr>
              <w:t>全球零售</w:t>
            </w:r>
            <w:r w:rsidR="00A43E0C" w:rsidRPr="00633CF8">
              <w:rPr>
                <w:rFonts w:ascii="Times New Roman" w:eastAsia="標楷體" w:hAnsi="Times New Roman" w:cs="Times New Roman"/>
                <w:color w:val="000000" w:themeColor="text1"/>
                <w:sz w:val="28"/>
                <w:szCs w:val="28"/>
                <w:lang w:eastAsia="zh-CN"/>
              </w:rPr>
              <w:t>業銷售總額</w:t>
            </w:r>
            <w:r w:rsidR="00253F2C" w:rsidRPr="00633CF8">
              <w:rPr>
                <w:rFonts w:ascii="Times New Roman" w:eastAsia="標楷體" w:hAnsi="Times New Roman" w:cs="Times New Roman"/>
                <w:color w:val="000000" w:themeColor="text1"/>
                <w:sz w:val="28"/>
                <w:szCs w:val="28"/>
                <w:lang w:eastAsia="zh-CN"/>
              </w:rPr>
              <w:t>在</w:t>
            </w:r>
            <w:r w:rsidR="009445CB" w:rsidRPr="00633CF8">
              <w:rPr>
                <w:rFonts w:ascii="Times New Roman" w:eastAsia="標楷體" w:hAnsi="Times New Roman" w:cs="Times New Roman"/>
                <w:color w:val="000000" w:themeColor="text1"/>
                <w:sz w:val="28"/>
                <w:szCs w:val="28"/>
                <w:lang w:eastAsia="zh-CN"/>
              </w:rPr>
              <w:t>2017</w:t>
            </w:r>
            <w:r w:rsidR="003D088F" w:rsidRPr="00633CF8">
              <w:rPr>
                <w:rFonts w:ascii="Times New Roman" w:eastAsia="標楷體" w:hAnsi="Times New Roman" w:cs="Times New Roman"/>
                <w:color w:val="000000" w:themeColor="text1"/>
                <w:sz w:val="28"/>
                <w:szCs w:val="28"/>
                <w:lang w:eastAsia="zh-CN"/>
              </w:rPr>
              <w:t>年</w:t>
            </w:r>
            <w:r w:rsidR="00230096" w:rsidRPr="00633CF8">
              <w:rPr>
                <w:rFonts w:ascii="Times New Roman" w:eastAsia="標楷體" w:hAnsi="Times New Roman" w:cs="Times New Roman"/>
                <w:color w:val="000000" w:themeColor="text1"/>
                <w:sz w:val="28"/>
                <w:szCs w:val="28"/>
                <w:lang w:eastAsia="zh-CN"/>
              </w:rPr>
              <w:t>高達</w:t>
            </w:r>
            <w:r w:rsidR="003D088F" w:rsidRPr="00633CF8">
              <w:rPr>
                <w:rFonts w:ascii="Times New Roman" w:eastAsia="標楷體" w:hAnsi="Times New Roman" w:cs="Times New Roman"/>
                <w:color w:val="000000" w:themeColor="text1"/>
                <w:sz w:val="28"/>
                <w:szCs w:val="28"/>
                <w:lang w:eastAsia="zh-CN"/>
              </w:rPr>
              <w:t>22.64</w:t>
            </w:r>
            <w:r w:rsidR="003D088F" w:rsidRPr="00633CF8">
              <w:rPr>
                <w:rFonts w:ascii="Times New Roman" w:eastAsia="標楷體" w:hAnsi="Times New Roman" w:cs="Times New Roman"/>
                <w:color w:val="000000" w:themeColor="text1"/>
                <w:sz w:val="28"/>
                <w:szCs w:val="28"/>
                <w:lang w:eastAsia="zh-CN"/>
              </w:rPr>
              <w:t>兆美元，</w:t>
            </w:r>
            <w:r w:rsidR="00041CB1" w:rsidRPr="00633CF8">
              <w:rPr>
                <w:rFonts w:ascii="Times New Roman" w:eastAsia="標楷體" w:hAnsi="Times New Roman" w:cs="Times New Roman"/>
                <w:color w:val="000000" w:themeColor="text1"/>
                <w:sz w:val="28"/>
                <w:szCs w:val="28"/>
                <w:lang w:eastAsia="zh-CN"/>
              </w:rPr>
              <w:t>其中</w:t>
            </w:r>
            <w:r w:rsidR="00747118" w:rsidRPr="00633CF8">
              <w:rPr>
                <w:rFonts w:ascii="Times New Roman" w:eastAsia="標楷體" w:hAnsi="Times New Roman" w:cs="Times New Roman"/>
                <w:color w:val="000000" w:themeColor="text1"/>
                <w:sz w:val="28"/>
                <w:szCs w:val="28"/>
                <w:lang w:eastAsia="zh-CN"/>
              </w:rPr>
              <w:t>電子商務</w:t>
            </w:r>
            <w:r w:rsidR="00AF6A77" w:rsidRPr="00633CF8">
              <w:rPr>
                <w:rFonts w:ascii="Times New Roman" w:eastAsia="標楷體" w:hAnsi="Times New Roman" w:cs="Times New Roman"/>
                <w:color w:val="000000" w:themeColor="text1"/>
                <w:sz w:val="28"/>
                <w:szCs w:val="28"/>
                <w:lang w:eastAsia="zh-CN"/>
              </w:rPr>
              <w:t>占</w:t>
            </w:r>
            <w:r w:rsidR="00AF6A77" w:rsidRPr="00633CF8">
              <w:rPr>
                <w:rFonts w:ascii="Times New Roman" w:eastAsia="標楷體" w:hAnsi="Times New Roman" w:cs="Times New Roman"/>
                <w:color w:val="000000" w:themeColor="text1"/>
                <w:sz w:val="28"/>
                <w:szCs w:val="28"/>
                <w:lang w:eastAsia="zh-CN"/>
              </w:rPr>
              <w:t>10.2%</w:t>
            </w:r>
            <w:r w:rsidR="00B71EA7" w:rsidRPr="00B163CC">
              <w:rPr>
                <w:rFonts w:ascii="Times New Roman" w:eastAsia="標楷體" w:hAnsi="Times New Roman" w:cs="Times New Roman"/>
                <w:sz w:val="28"/>
                <w:szCs w:val="28"/>
                <w:lang w:eastAsia="zh-CN"/>
              </w:rPr>
              <w:t>，</w:t>
            </w:r>
            <w:r w:rsidR="00435E7A" w:rsidRPr="00633CF8">
              <w:rPr>
                <w:rFonts w:ascii="Times New Roman" w:eastAsia="標楷體" w:hAnsi="Times New Roman" w:cs="Times New Roman"/>
                <w:color w:val="000000" w:themeColor="text1"/>
                <w:sz w:val="28"/>
                <w:szCs w:val="28"/>
                <w:lang w:eastAsia="zh-CN"/>
              </w:rPr>
              <w:t>而</w:t>
            </w:r>
            <w:r w:rsidR="00A07869" w:rsidRPr="00633CF8">
              <w:rPr>
                <w:rFonts w:ascii="Times New Roman" w:eastAsia="標楷體" w:hAnsi="Times New Roman" w:cs="Times New Roman"/>
                <w:color w:val="000000" w:themeColor="text1"/>
                <w:sz w:val="28"/>
                <w:szCs w:val="28"/>
                <w:lang w:eastAsia="zh-CN"/>
              </w:rPr>
              <w:t>電子商務中又有</w:t>
            </w:r>
            <w:r w:rsidR="00A07869" w:rsidRPr="00633CF8">
              <w:rPr>
                <w:rFonts w:ascii="Times New Roman" w:eastAsia="標楷體" w:hAnsi="Times New Roman" w:cs="Times New Roman"/>
                <w:color w:val="000000" w:themeColor="text1"/>
                <w:sz w:val="28"/>
                <w:szCs w:val="28"/>
                <w:lang w:eastAsia="zh-CN"/>
              </w:rPr>
              <w:t>58</w:t>
            </w:r>
            <w:r w:rsidR="00FB6CCF" w:rsidRPr="00633CF8">
              <w:rPr>
                <w:rFonts w:ascii="Times New Roman" w:eastAsia="標楷體" w:hAnsi="Times New Roman" w:cs="Times New Roman"/>
                <w:color w:val="000000" w:themeColor="text1"/>
                <w:sz w:val="28"/>
                <w:szCs w:val="28"/>
                <w:lang w:eastAsia="zh-CN"/>
              </w:rPr>
              <w:t>.9%</w:t>
            </w:r>
            <w:r w:rsidR="00FB6CCF" w:rsidRPr="00633CF8">
              <w:rPr>
                <w:rFonts w:ascii="Times New Roman" w:eastAsia="標楷體" w:hAnsi="Times New Roman" w:cs="Times New Roman"/>
                <w:color w:val="000000" w:themeColor="text1"/>
                <w:sz w:val="28"/>
                <w:szCs w:val="28"/>
                <w:lang w:eastAsia="zh-CN"/>
              </w:rPr>
              <w:t>屬於行動商務</w:t>
            </w:r>
            <w:r w:rsidR="00890E99" w:rsidRPr="00633CF8">
              <w:rPr>
                <w:rFonts w:ascii="Times New Roman" w:eastAsia="標楷體" w:hAnsi="Times New Roman" w:cs="Times New Roman"/>
                <w:color w:val="000000" w:themeColor="text1"/>
                <w:sz w:val="28"/>
                <w:szCs w:val="28"/>
                <w:lang w:eastAsia="zh-CN"/>
              </w:rPr>
              <w:t>，並預測</w:t>
            </w:r>
            <w:r w:rsidR="001B3885" w:rsidRPr="00633CF8">
              <w:rPr>
                <w:rFonts w:ascii="Times New Roman" w:eastAsia="標楷體" w:hAnsi="Times New Roman" w:cs="Times New Roman"/>
                <w:color w:val="000000" w:themeColor="text1"/>
                <w:sz w:val="28"/>
                <w:szCs w:val="28"/>
                <w:lang w:eastAsia="zh-CN"/>
              </w:rPr>
              <w:t>到</w:t>
            </w:r>
            <w:r w:rsidR="001B3885" w:rsidRPr="00633CF8">
              <w:rPr>
                <w:rFonts w:ascii="Times New Roman" w:eastAsia="標楷體" w:hAnsi="Times New Roman" w:cs="Times New Roman"/>
                <w:color w:val="000000" w:themeColor="text1"/>
                <w:sz w:val="28"/>
                <w:szCs w:val="28"/>
                <w:lang w:eastAsia="zh-CN"/>
              </w:rPr>
              <w:t>2021</w:t>
            </w:r>
            <w:r w:rsidR="008E2A57" w:rsidRPr="00633CF8">
              <w:rPr>
                <w:rFonts w:ascii="Times New Roman" w:eastAsia="標楷體" w:hAnsi="Times New Roman" w:cs="Times New Roman"/>
                <w:color w:val="000000" w:themeColor="text1"/>
                <w:sz w:val="28"/>
                <w:szCs w:val="28"/>
                <w:lang w:eastAsia="zh-CN"/>
              </w:rPr>
              <w:t>年時，全球零售</w:t>
            </w:r>
            <w:r w:rsidR="006E15F8" w:rsidRPr="00633CF8">
              <w:rPr>
                <w:rFonts w:ascii="Times New Roman" w:eastAsia="標楷體" w:hAnsi="Times New Roman" w:cs="Times New Roman"/>
                <w:color w:val="000000" w:themeColor="text1"/>
                <w:sz w:val="28"/>
                <w:szCs w:val="28"/>
                <w:lang w:eastAsia="zh-CN"/>
              </w:rPr>
              <w:t>電子商務將從</w:t>
            </w:r>
            <w:r w:rsidR="00CA221E" w:rsidRPr="00633CF8">
              <w:rPr>
                <w:rFonts w:ascii="Times New Roman" w:eastAsia="標楷體" w:hAnsi="Times New Roman" w:cs="Times New Roman"/>
                <w:color w:val="000000" w:themeColor="text1"/>
                <w:sz w:val="28"/>
                <w:szCs w:val="28"/>
                <w:lang w:eastAsia="zh-CN"/>
              </w:rPr>
              <w:t>2017</w:t>
            </w:r>
            <w:r w:rsidR="003B32B5" w:rsidRPr="00633CF8">
              <w:rPr>
                <w:rFonts w:ascii="Times New Roman" w:eastAsia="標楷體" w:hAnsi="Times New Roman" w:cs="Times New Roman"/>
                <w:color w:val="000000" w:themeColor="text1"/>
                <w:sz w:val="28"/>
                <w:szCs w:val="28"/>
                <w:lang w:eastAsia="zh-CN"/>
              </w:rPr>
              <w:t>年的</w:t>
            </w:r>
            <w:r w:rsidR="003B32B5" w:rsidRPr="00633CF8">
              <w:rPr>
                <w:rFonts w:ascii="Times New Roman" w:eastAsia="標楷體" w:hAnsi="Times New Roman" w:cs="Times New Roman"/>
                <w:color w:val="000000" w:themeColor="text1"/>
                <w:sz w:val="28"/>
                <w:szCs w:val="28"/>
                <w:lang w:eastAsia="zh-CN"/>
              </w:rPr>
              <w:t>2.30</w:t>
            </w:r>
            <w:r w:rsidR="004F51D0" w:rsidRPr="00633CF8">
              <w:rPr>
                <w:rFonts w:ascii="Times New Roman" w:eastAsia="標楷體" w:hAnsi="Times New Roman" w:cs="Times New Roman"/>
                <w:color w:val="000000" w:themeColor="text1"/>
                <w:sz w:val="28"/>
                <w:szCs w:val="28"/>
                <w:lang w:eastAsia="zh-CN"/>
              </w:rPr>
              <w:t>9</w:t>
            </w:r>
            <w:r w:rsidR="003B32B5" w:rsidRPr="00633CF8">
              <w:rPr>
                <w:rFonts w:ascii="Times New Roman" w:eastAsia="標楷體" w:hAnsi="Times New Roman" w:cs="Times New Roman"/>
                <w:color w:val="000000" w:themeColor="text1"/>
                <w:sz w:val="28"/>
                <w:szCs w:val="28"/>
                <w:lang w:eastAsia="zh-CN"/>
              </w:rPr>
              <w:t>兆美元提高</w:t>
            </w:r>
            <w:r w:rsidR="002B6327" w:rsidRPr="00633CF8">
              <w:rPr>
                <w:rFonts w:ascii="Times New Roman" w:eastAsia="標楷體" w:hAnsi="Times New Roman" w:cs="Times New Roman"/>
                <w:color w:val="000000" w:themeColor="text1"/>
                <w:sz w:val="28"/>
                <w:szCs w:val="28"/>
                <w:lang w:eastAsia="zh-CN"/>
              </w:rPr>
              <w:t>為</w:t>
            </w:r>
            <w:r w:rsidR="002B6327" w:rsidRPr="00633CF8">
              <w:rPr>
                <w:rFonts w:ascii="Times New Roman" w:eastAsia="標楷體" w:hAnsi="Times New Roman" w:cs="Times New Roman"/>
                <w:color w:val="000000" w:themeColor="text1"/>
                <w:sz w:val="28"/>
                <w:szCs w:val="28"/>
                <w:lang w:eastAsia="zh-CN"/>
              </w:rPr>
              <w:t>4.479</w:t>
            </w:r>
            <w:r w:rsidR="002B6327" w:rsidRPr="00633CF8">
              <w:rPr>
                <w:rFonts w:ascii="Times New Roman" w:eastAsia="標楷體" w:hAnsi="Times New Roman" w:cs="Times New Roman"/>
                <w:color w:val="000000" w:themeColor="text1"/>
                <w:sz w:val="28"/>
                <w:szCs w:val="28"/>
                <w:lang w:eastAsia="zh-CN"/>
              </w:rPr>
              <w:t>兆美元</w:t>
            </w:r>
            <w:r w:rsidR="002E0609" w:rsidRPr="00633CF8">
              <w:rPr>
                <w:rFonts w:ascii="Times New Roman" w:eastAsia="標楷體" w:hAnsi="Times New Roman" w:cs="Times New Roman"/>
                <w:color w:val="000000" w:themeColor="text1"/>
                <w:sz w:val="28"/>
                <w:szCs w:val="28"/>
                <w:lang w:eastAsia="zh-CN"/>
              </w:rPr>
              <w:t>，</w:t>
            </w:r>
            <w:r w:rsidR="006C2F29" w:rsidRPr="00633CF8">
              <w:rPr>
                <w:rFonts w:ascii="Times New Roman" w:eastAsia="標楷體" w:hAnsi="Times New Roman" w:cs="Times New Roman"/>
                <w:color w:val="000000" w:themeColor="text1"/>
                <w:sz w:val="28"/>
                <w:szCs w:val="28"/>
                <w:lang w:eastAsia="zh-CN"/>
              </w:rPr>
              <w:t>而其中行動商務的</w:t>
            </w:r>
            <w:r w:rsidR="00035EBE" w:rsidRPr="00633CF8">
              <w:rPr>
                <w:rFonts w:ascii="Times New Roman" w:eastAsia="標楷體" w:hAnsi="Times New Roman" w:cs="Times New Roman"/>
                <w:color w:val="000000" w:themeColor="text1"/>
                <w:sz w:val="28"/>
                <w:szCs w:val="28"/>
                <w:lang w:eastAsia="zh-CN"/>
              </w:rPr>
              <w:t>占</w:t>
            </w:r>
            <w:r w:rsidR="006C2F29" w:rsidRPr="00633CF8">
              <w:rPr>
                <w:rFonts w:ascii="Times New Roman" w:eastAsia="標楷體" w:hAnsi="Times New Roman" w:cs="Times New Roman"/>
                <w:color w:val="000000" w:themeColor="text1"/>
                <w:sz w:val="28"/>
                <w:szCs w:val="28"/>
                <w:lang w:eastAsia="zh-CN"/>
              </w:rPr>
              <w:t>比</w:t>
            </w:r>
            <w:r w:rsidR="000554E3" w:rsidRPr="00633CF8">
              <w:rPr>
                <w:rFonts w:ascii="Times New Roman" w:eastAsia="標楷體" w:hAnsi="Times New Roman" w:cs="Times New Roman"/>
                <w:color w:val="000000" w:themeColor="text1"/>
                <w:sz w:val="28"/>
                <w:szCs w:val="28"/>
                <w:lang w:eastAsia="zh-CN"/>
              </w:rPr>
              <w:t>將升高為</w:t>
            </w:r>
            <w:r w:rsidR="000554E3" w:rsidRPr="00633CF8">
              <w:rPr>
                <w:rFonts w:ascii="Times New Roman" w:eastAsia="標楷體" w:hAnsi="Times New Roman" w:cs="Times New Roman"/>
                <w:color w:val="000000" w:themeColor="text1"/>
                <w:sz w:val="28"/>
                <w:szCs w:val="28"/>
                <w:lang w:eastAsia="zh-CN"/>
              </w:rPr>
              <w:t>72</w:t>
            </w:r>
            <w:r w:rsidR="00363727" w:rsidRPr="00633CF8">
              <w:rPr>
                <w:rFonts w:ascii="Times New Roman" w:eastAsia="標楷體" w:hAnsi="Times New Roman" w:cs="Times New Roman"/>
                <w:color w:val="000000" w:themeColor="text1"/>
                <w:sz w:val="28"/>
                <w:szCs w:val="28"/>
                <w:lang w:eastAsia="zh-CN"/>
              </w:rPr>
              <w:t>.9%</w:t>
            </w:r>
            <w:r w:rsidR="00363727" w:rsidRPr="00633CF8">
              <w:rPr>
                <w:rFonts w:ascii="Times New Roman" w:eastAsia="標楷體" w:hAnsi="Times New Roman" w:cs="Times New Roman"/>
                <w:color w:val="000000" w:themeColor="text1"/>
                <w:sz w:val="28"/>
                <w:szCs w:val="28"/>
                <w:lang w:eastAsia="zh-CN"/>
              </w:rPr>
              <w:t>。</w:t>
            </w:r>
            <w:r w:rsidR="004E15AB" w:rsidRPr="00633CF8">
              <w:rPr>
                <w:rFonts w:ascii="Times New Roman" w:eastAsia="標楷體" w:hAnsi="Times New Roman" w:cs="Times New Roman"/>
                <w:color w:val="000000" w:themeColor="text1"/>
                <w:sz w:val="28"/>
                <w:szCs w:val="28"/>
                <w:lang w:eastAsia="zh-CN"/>
              </w:rPr>
              <w:t>eMarketer</w:t>
            </w:r>
            <w:r w:rsidR="004E15AB" w:rsidRPr="00633CF8">
              <w:rPr>
                <w:rFonts w:ascii="Times New Roman" w:eastAsia="標楷體" w:hAnsi="Times New Roman" w:cs="Times New Roman"/>
                <w:color w:val="000000" w:themeColor="text1"/>
                <w:sz w:val="28"/>
                <w:szCs w:val="28"/>
                <w:lang w:eastAsia="zh-CN"/>
              </w:rPr>
              <w:t>也</w:t>
            </w:r>
            <w:r w:rsidR="00247863" w:rsidRPr="00633CF8">
              <w:rPr>
                <w:rFonts w:ascii="Times New Roman" w:eastAsia="標楷體" w:hAnsi="Times New Roman" w:cs="Times New Roman"/>
                <w:color w:val="000000" w:themeColor="text1"/>
                <w:sz w:val="28"/>
                <w:szCs w:val="28"/>
                <w:lang w:eastAsia="zh-CN"/>
              </w:rPr>
              <w:t>對台灣</w:t>
            </w:r>
            <w:r w:rsidR="007067D9" w:rsidRPr="00633CF8">
              <w:rPr>
                <w:rFonts w:ascii="Times New Roman" w:eastAsia="標楷體" w:hAnsi="Times New Roman" w:cs="Times New Roman"/>
                <w:color w:val="000000" w:themeColor="text1"/>
                <w:sz w:val="28"/>
                <w:szCs w:val="28"/>
                <w:lang w:eastAsia="zh-CN"/>
              </w:rPr>
              <w:t>調查發現</w:t>
            </w:r>
            <w:r w:rsidR="00ED439E" w:rsidRPr="00633CF8">
              <w:rPr>
                <w:rFonts w:ascii="Times New Roman" w:eastAsia="標楷體" w:hAnsi="Times New Roman" w:cs="Times New Roman"/>
                <w:color w:val="000000" w:themeColor="text1"/>
                <w:sz w:val="28"/>
                <w:szCs w:val="28"/>
                <w:lang w:eastAsia="zh-CN"/>
              </w:rPr>
              <w:t>在</w:t>
            </w:r>
            <w:r w:rsidR="00ED439E" w:rsidRPr="00633CF8">
              <w:rPr>
                <w:rFonts w:ascii="Times New Roman" w:eastAsia="標楷體" w:hAnsi="Times New Roman" w:cs="Times New Roman"/>
                <w:color w:val="000000" w:themeColor="text1"/>
                <w:sz w:val="28"/>
                <w:szCs w:val="28"/>
                <w:lang w:eastAsia="zh-CN"/>
              </w:rPr>
              <w:t>2017</w:t>
            </w:r>
            <w:r w:rsidR="00ED439E" w:rsidRPr="00633CF8">
              <w:rPr>
                <w:rFonts w:ascii="Times New Roman" w:eastAsia="標楷體" w:hAnsi="Times New Roman" w:cs="Times New Roman"/>
                <w:color w:val="000000" w:themeColor="text1"/>
                <w:sz w:val="28"/>
                <w:szCs w:val="28"/>
                <w:lang w:eastAsia="zh-CN"/>
              </w:rPr>
              <w:t>年</w:t>
            </w:r>
            <w:r w:rsidR="007067D9" w:rsidRPr="00633CF8">
              <w:rPr>
                <w:rFonts w:ascii="Times New Roman" w:eastAsia="標楷體" w:hAnsi="Times New Roman" w:cs="Times New Roman"/>
                <w:color w:val="000000" w:themeColor="text1"/>
                <w:sz w:val="28"/>
                <w:szCs w:val="28"/>
                <w:lang w:eastAsia="zh-CN"/>
              </w:rPr>
              <w:t>電子商務</w:t>
            </w:r>
            <w:r w:rsidR="00ED439E" w:rsidRPr="00633CF8">
              <w:rPr>
                <w:rFonts w:ascii="Times New Roman" w:eastAsia="標楷體" w:hAnsi="Times New Roman" w:cs="Times New Roman"/>
                <w:color w:val="000000" w:themeColor="text1"/>
                <w:sz w:val="28"/>
                <w:szCs w:val="28"/>
                <w:lang w:eastAsia="zh-CN"/>
              </w:rPr>
              <w:t>已</w:t>
            </w:r>
            <w:r w:rsidR="00D0197E" w:rsidRPr="00633CF8">
              <w:rPr>
                <w:rFonts w:ascii="Times New Roman" w:eastAsia="標楷體" w:hAnsi="Times New Roman" w:cs="Times New Roman"/>
                <w:color w:val="000000" w:themeColor="text1"/>
                <w:sz w:val="28"/>
                <w:szCs w:val="28"/>
                <w:lang w:eastAsia="zh-CN"/>
              </w:rPr>
              <w:t>占整體零售的</w:t>
            </w:r>
            <w:r w:rsidR="00B02BF7" w:rsidRPr="00633CF8">
              <w:rPr>
                <w:rFonts w:ascii="Times New Roman" w:eastAsia="標楷體" w:hAnsi="Times New Roman" w:cs="Times New Roman"/>
                <w:color w:val="000000" w:themeColor="text1"/>
                <w:sz w:val="28"/>
                <w:szCs w:val="28"/>
                <w:lang w:eastAsia="zh-CN"/>
              </w:rPr>
              <w:t>6</w:t>
            </w:r>
            <w:r w:rsidR="00764E98" w:rsidRPr="00633CF8">
              <w:rPr>
                <w:rFonts w:ascii="Times New Roman" w:eastAsia="標楷體" w:hAnsi="Times New Roman" w:cs="Times New Roman"/>
                <w:color w:val="000000" w:themeColor="text1"/>
                <w:sz w:val="28"/>
                <w:szCs w:val="28"/>
                <w:lang w:eastAsia="zh-CN"/>
              </w:rPr>
              <w:t>～</w:t>
            </w:r>
            <w:r w:rsidR="00086088" w:rsidRPr="00633CF8">
              <w:rPr>
                <w:rFonts w:ascii="Times New Roman" w:eastAsia="標楷體" w:hAnsi="Times New Roman" w:cs="Times New Roman"/>
                <w:color w:val="000000" w:themeColor="text1"/>
                <w:sz w:val="28"/>
                <w:szCs w:val="28"/>
                <w:lang w:eastAsia="zh-CN"/>
              </w:rPr>
              <w:t>7%</w:t>
            </w:r>
            <w:r w:rsidR="00B71EA7" w:rsidRPr="00B163CC">
              <w:rPr>
                <w:rFonts w:ascii="Times New Roman" w:eastAsia="標楷體" w:hAnsi="Times New Roman" w:cs="Times New Roman"/>
                <w:sz w:val="28"/>
                <w:szCs w:val="28"/>
                <w:lang w:eastAsia="zh-CN"/>
              </w:rPr>
              <w:t>，</w:t>
            </w:r>
            <w:r w:rsidR="00086088" w:rsidRPr="00633CF8">
              <w:rPr>
                <w:rFonts w:ascii="Times New Roman" w:eastAsia="標楷體" w:hAnsi="Times New Roman" w:cs="Times New Roman"/>
                <w:color w:val="000000" w:themeColor="text1"/>
                <w:sz w:val="28"/>
                <w:szCs w:val="28"/>
                <w:lang w:eastAsia="zh-CN"/>
              </w:rPr>
              <w:t>並預</w:t>
            </w:r>
            <w:r w:rsidR="007D7B00" w:rsidRPr="00633CF8">
              <w:rPr>
                <w:rFonts w:ascii="Times New Roman" w:eastAsia="標楷體" w:hAnsi="Times New Roman" w:cs="Times New Roman"/>
                <w:color w:val="000000" w:themeColor="text1"/>
                <w:sz w:val="28"/>
                <w:szCs w:val="28"/>
                <w:lang w:eastAsia="zh-CN"/>
              </w:rPr>
              <w:t>估</w:t>
            </w:r>
            <w:r w:rsidR="00E801E5" w:rsidRPr="00633CF8">
              <w:rPr>
                <w:rFonts w:ascii="Times New Roman" w:eastAsia="標楷體" w:hAnsi="Times New Roman" w:cs="Times New Roman"/>
                <w:color w:val="000000" w:themeColor="text1"/>
                <w:sz w:val="28"/>
                <w:szCs w:val="28"/>
                <w:lang w:eastAsia="zh-CN"/>
              </w:rPr>
              <w:t>台灣</w:t>
            </w:r>
            <w:r w:rsidR="00E801E5" w:rsidRPr="00633CF8">
              <w:rPr>
                <w:rFonts w:ascii="Times New Roman" w:eastAsia="標楷體" w:hAnsi="Times New Roman" w:cs="Times New Roman"/>
                <w:color w:val="000000" w:themeColor="text1"/>
                <w:sz w:val="28"/>
                <w:szCs w:val="28"/>
                <w:lang w:eastAsia="zh-CN"/>
              </w:rPr>
              <w:t>2018-2022</w:t>
            </w:r>
            <w:r w:rsidR="00E801E5" w:rsidRPr="00633CF8">
              <w:rPr>
                <w:rFonts w:ascii="Times New Roman" w:eastAsia="標楷體" w:hAnsi="Times New Roman" w:cs="Times New Roman"/>
                <w:color w:val="000000" w:themeColor="text1"/>
                <w:sz w:val="28"/>
                <w:szCs w:val="28"/>
                <w:lang w:eastAsia="zh-CN"/>
              </w:rPr>
              <w:t>年間整體零售</w:t>
            </w:r>
            <w:r w:rsidR="007D7B00" w:rsidRPr="00633CF8">
              <w:rPr>
                <w:rFonts w:ascii="Times New Roman" w:eastAsia="標楷體" w:hAnsi="Times New Roman" w:cs="Times New Roman"/>
                <w:color w:val="000000" w:themeColor="text1"/>
                <w:sz w:val="28"/>
                <w:szCs w:val="28"/>
                <w:lang w:eastAsia="zh-CN"/>
              </w:rPr>
              <w:t>成長率平均</w:t>
            </w:r>
            <w:r w:rsidR="009F1E8B" w:rsidRPr="00633CF8">
              <w:rPr>
                <w:rFonts w:ascii="Times New Roman" w:eastAsia="標楷體" w:hAnsi="Times New Roman" w:cs="Times New Roman"/>
                <w:color w:val="000000" w:themeColor="text1"/>
                <w:sz w:val="28"/>
                <w:szCs w:val="28"/>
                <w:lang w:eastAsia="zh-CN"/>
              </w:rPr>
              <w:t>每年不到</w:t>
            </w:r>
            <w:r w:rsidR="009F1E8B" w:rsidRPr="00633CF8">
              <w:rPr>
                <w:rFonts w:ascii="Times New Roman" w:eastAsia="標楷體" w:hAnsi="Times New Roman" w:cs="Times New Roman"/>
                <w:color w:val="000000" w:themeColor="text1"/>
                <w:sz w:val="28"/>
                <w:szCs w:val="28"/>
                <w:lang w:eastAsia="zh-CN"/>
              </w:rPr>
              <w:t>1%</w:t>
            </w:r>
            <w:r w:rsidR="00B71EA7" w:rsidRPr="00B163CC">
              <w:rPr>
                <w:rFonts w:ascii="Times New Roman" w:eastAsia="標楷體" w:hAnsi="Times New Roman" w:cs="Times New Roman"/>
                <w:sz w:val="28"/>
                <w:szCs w:val="28"/>
                <w:lang w:eastAsia="zh-CN"/>
              </w:rPr>
              <w:t>，</w:t>
            </w:r>
            <w:r w:rsidR="009F1E8B" w:rsidRPr="00633CF8">
              <w:rPr>
                <w:rFonts w:ascii="Times New Roman" w:eastAsia="標楷體" w:hAnsi="Times New Roman" w:cs="Times New Roman"/>
                <w:color w:val="000000" w:themeColor="text1"/>
                <w:sz w:val="28"/>
                <w:szCs w:val="28"/>
                <w:lang w:eastAsia="zh-CN"/>
              </w:rPr>
              <w:t>而電子商務</w:t>
            </w:r>
            <w:r w:rsidR="008D6265" w:rsidRPr="00633CF8">
              <w:rPr>
                <w:rFonts w:ascii="Times New Roman" w:eastAsia="標楷體" w:hAnsi="Times New Roman" w:cs="Times New Roman"/>
                <w:color w:val="000000" w:themeColor="text1"/>
                <w:sz w:val="28"/>
                <w:szCs w:val="28"/>
                <w:lang w:eastAsia="zh-CN"/>
              </w:rPr>
              <w:t>平均每年會有近</w:t>
            </w:r>
            <w:r w:rsidR="008D6265" w:rsidRPr="00633CF8">
              <w:rPr>
                <w:rFonts w:ascii="Times New Roman" w:eastAsia="標楷體" w:hAnsi="Times New Roman" w:cs="Times New Roman"/>
                <w:color w:val="000000" w:themeColor="text1"/>
                <w:sz w:val="28"/>
                <w:szCs w:val="28"/>
                <w:lang w:eastAsia="zh-CN"/>
              </w:rPr>
              <w:t>7%</w:t>
            </w:r>
            <w:r w:rsidR="008D6265" w:rsidRPr="00633CF8">
              <w:rPr>
                <w:rFonts w:ascii="Times New Roman" w:eastAsia="標楷體" w:hAnsi="Times New Roman" w:cs="Times New Roman"/>
                <w:color w:val="000000" w:themeColor="text1"/>
                <w:sz w:val="28"/>
                <w:szCs w:val="28"/>
                <w:lang w:eastAsia="zh-CN"/>
              </w:rPr>
              <w:t>的</w:t>
            </w:r>
            <w:r w:rsidR="00EA6E7B" w:rsidRPr="00633CF8">
              <w:rPr>
                <w:rFonts w:ascii="Times New Roman" w:eastAsia="標楷體" w:hAnsi="Times New Roman" w:cs="Times New Roman"/>
                <w:color w:val="000000" w:themeColor="text1"/>
                <w:sz w:val="28"/>
                <w:szCs w:val="28"/>
                <w:lang w:eastAsia="zh-CN"/>
              </w:rPr>
              <w:t>成長率。這種</w:t>
            </w:r>
            <w:r w:rsidR="007B3672" w:rsidRPr="00633CF8">
              <w:rPr>
                <w:rFonts w:ascii="Times New Roman" w:eastAsia="標楷體" w:hAnsi="Times New Roman" w:cs="Times New Roman"/>
                <w:color w:val="000000" w:themeColor="text1"/>
                <w:sz w:val="28"/>
                <w:szCs w:val="28"/>
                <w:lang w:eastAsia="zh-CN"/>
              </w:rPr>
              <w:t>商業科技</w:t>
            </w:r>
            <w:r w:rsidR="000C7812" w:rsidRPr="00633CF8">
              <w:rPr>
                <w:rFonts w:ascii="Times New Roman" w:eastAsia="標楷體" w:hAnsi="Times New Roman" w:cs="Times New Roman"/>
                <w:color w:val="000000" w:themeColor="text1"/>
                <w:sz w:val="28"/>
                <w:szCs w:val="28"/>
                <w:lang w:eastAsia="zh-CN"/>
              </w:rPr>
              <w:t>與商業模式</w:t>
            </w:r>
            <w:r w:rsidR="00E031C9" w:rsidRPr="00633CF8">
              <w:rPr>
                <w:rFonts w:ascii="Times New Roman" w:eastAsia="標楷體" w:hAnsi="Times New Roman" w:cs="Times New Roman"/>
                <w:color w:val="000000" w:themeColor="text1"/>
                <w:sz w:val="28"/>
                <w:szCs w:val="28"/>
                <w:lang w:eastAsia="zh-CN"/>
              </w:rPr>
              <w:t>的變革無疑地將</w:t>
            </w:r>
            <w:r w:rsidR="004E6FFC" w:rsidRPr="00633CF8">
              <w:rPr>
                <w:rFonts w:ascii="Times New Roman" w:eastAsia="標楷體" w:hAnsi="Times New Roman" w:cs="Times New Roman"/>
                <w:color w:val="000000" w:themeColor="text1"/>
                <w:sz w:val="28"/>
                <w:szCs w:val="28"/>
                <w:lang w:eastAsia="zh-CN"/>
              </w:rPr>
              <w:t>使傳統零售與新零售</w:t>
            </w:r>
            <w:r w:rsidR="009A6DC1" w:rsidRPr="00633CF8">
              <w:rPr>
                <w:rFonts w:ascii="Times New Roman" w:eastAsia="標楷體" w:hAnsi="Times New Roman" w:cs="Times New Roman"/>
                <w:color w:val="000000" w:themeColor="text1"/>
                <w:sz w:val="28"/>
                <w:szCs w:val="28"/>
                <w:lang w:eastAsia="zh-CN"/>
              </w:rPr>
              <w:t>產生日趨</w:t>
            </w:r>
            <w:r w:rsidR="00AE53EA" w:rsidRPr="00633CF8">
              <w:rPr>
                <w:rFonts w:ascii="Times New Roman" w:eastAsia="標楷體" w:hAnsi="Times New Roman" w:cs="Times New Roman"/>
                <w:color w:val="000000" w:themeColor="text1"/>
                <w:sz w:val="28"/>
                <w:szCs w:val="28"/>
                <w:lang w:eastAsia="zh-CN"/>
              </w:rPr>
              <w:t>明顯的相對變化，</w:t>
            </w:r>
            <w:r w:rsidR="002548D3" w:rsidRPr="00633CF8">
              <w:rPr>
                <w:rFonts w:ascii="Times New Roman" w:eastAsia="標楷體" w:hAnsi="Times New Roman" w:cs="Times New Roman"/>
                <w:color w:val="000000" w:themeColor="text1"/>
                <w:sz w:val="28"/>
                <w:szCs w:val="28"/>
                <w:lang w:eastAsia="zh-CN"/>
              </w:rPr>
              <w:t>同樣的</w:t>
            </w:r>
            <w:r w:rsidR="00A60B6C" w:rsidRPr="00633CF8">
              <w:rPr>
                <w:rFonts w:ascii="Times New Roman" w:eastAsia="標楷體" w:hAnsi="Times New Roman" w:cs="Times New Roman"/>
                <w:color w:val="000000" w:themeColor="text1"/>
                <w:sz w:val="28"/>
                <w:szCs w:val="28"/>
                <w:lang w:eastAsia="zh-CN"/>
              </w:rPr>
              <w:t>零售金額卻代表著</w:t>
            </w:r>
            <w:r w:rsidR="00226B2A" w:rsidRPr="00633CF8">
              <w:rPr>
                <w:rFonts w:ascii="Times New Roman" w:eastAsia="標楷體" w:hAnsi="Times New Roman" w:cs="Times New Roman"/>
                <w:color w:val="000000" w:themeColor="text1"/>
                <w:sz w:val="28"/>
                <w:szCs w:val="28"/>
                <w:lang w:eastAsia="zh-CN"/>
              </w:rPr>
              <w:t>不同的</w:t>
            </w:r>
            <w:r w:rsidR="00FA760E" w:rsidRPr="00633CF8">
              <w:rPr>
                <w:rFonts w:ascii="Times New Roman" w:eastAsia="標楷體" w:hAnsi="Times New Roman" w:cs="Times New Roman"/>
                <w:color w:val="000000" w:themeColor="text1"/>
                <w:sz w:val="28"/>
                <w:szCs w:val="28"/>
                <w:lang w:eastAsia="zh-CN"/>
              </w:rPr>
              <w:t>景氣擴散</w:t>
            </w:r>
            <w:r w:rsidR="001F6C8C" w:rsidRPr="00633CF8">
              <w:rPr>
                <w:rFonts w:ascii="Times New Roman" w:eastAsia="標楷體" w:hAnsi="Times New Roman" w:cs="Times New Roman"/>
                <w:color w:val="000000" w:themeColor="text1"/>
                <w:sz w:val="28"/>
                <w:szCs w:val="28"/>
                <w:lang w:eastAsia="zh-CN"/>
              </w:rPr>
              <w:t>（</w:t>
            </w:r>
            <w:r w:rsidR="001F6C8C" w:rsidRPr="00633CF8">
              <w:rPr>
                <w:rFonts w:ascii="Times New Roman" w:eastAsia="標楷體" w:hAnsi="Times New Roman" w:cs="Times New Roman"/>
                <w:color w:val="000000" w:themeColor="text1"/>
                <w:sz w:val="28"/>
                <w:szCs w:val="28"/>
                <w:lang w:eastAsia="zh-CN"/>
              </w:rPr>
              <w:t>diffusion</w:t>
            </w:r>
            <w:r w:rsidR="001F6C8C" w:rsidRPr="00633CF8">
              <w:rPr>
                <w:rFonts w:ascii="Times New Roman" w:eastAsia="標楷體" w:hAnsi="Times New Roman" w:cs="Times New Roman"/>
                <w:color w:val="000000" w:themeColor="text1"/>
                <w:sz w:val="28"/>
                <w:szCs w:val="28"/>
                <w:lang w:eastAsia="zh-CN"/>
              </w:rPr>
              <w:t>）</w:t>
            </w:r>
            <w:r w:rsidR="00FA760E" w:rsidRPr="00633CF8">
              <w:rPr>
                <w:rFonts w:ascii="Times New Roman" w:eastAsia="標楷體" w:hAnsi="Times New Roman" w:cs="Times New Roman"/>
                <w:color w:val="000000" w:themeColor="text1"/>
                <w:sz w:val="28"/>
                <w:szCs w:val="28"/>
                <w:lang w:eastAsia="zh-CN"/>
              </w:rPr>
              <w:t>效果</w:t>
            </w:r>
            <w:r w:rsidR="00F74A80" w:rsidRPr="00633CF8">
              <w:rPr>
                <w:rFonts w:ascii="Times New Roman" w:eastAsia="標楷體" w:hAnsi="Times New Roman" w:cs="Times New Roman"/>
                <w:color w:val="000000" w:themeColor="text1"/>
                <w:sz w:val="28"/>
                <w:szCs w:val="28"/>
                <w:lang w:eastAsia="zh-CN"/>
              </w:rPr>
              <w:t>及不同</w:t>
            </w:r>
            <w:r w:rsidR="00226B2A" w:rsidRPr="00633CF8">
              <w:rPr>
                <w:rFonts w:ascii="Times New Roman" w:eastAsia="標楷體" w:hAnsi="Times New Roman" w:cs="Times New Roman"/>
                <w:color w:val="000000" w:themeColor="text1"/>
                <w:sz w:val="28"/>
                <w:szCs w:val="28"/>
                <w:lang w:eastAsia="zh-CN"/>
              </w:rPr>
              <w:t>消費者行為</w:t>
            </w:r>
            <w:r w:rsidR="00375706" w:rsidRPr="00633CF8">
              <w:rPr>
                <w:rFonts w:ascii="Times New Roman" w:eastAsia="標楷體" w:hAnsi="Times New Roman" w:cs="Times New Roman"/>
                <w:color w:val="000000" w:themeColor="text1"/>
                <w:sz w:val="28"/>
                <w:szCs w:val="28"/>
                <w:lang w:eastAsia="zh-CN"/>
              </w:rPr>
              <w:t>與</w:t>
            </w:r>
            <w:r w:rsidR="00EB37DF" w:rsidRPr="00633CF8">
              <w:rPr>
                <w:rFonts w:ascii="Times New Roman" w:eastAsia="標楷體" w:hAnsi="Times New Roman" w:cs="Times New Roman"/>
                <w:color w:val="000000" w:themeColor="text1"/>
                <w:sz w:val="28"/>
                <w:szCs w:val="28"/>
                <w:lang w:eastAsia="zh-CN"/>
              </w:rPr>
              <w:t>效率</w:t>
            </w:r>
            <w:r w:rsidR="00431A2D" w:rsidRPr="00633CF8">
              <w:rPr>
                <w:rFonts w:ascii="Times New Roman" w:eastAsia="標楷體" w:hAnsi="Times New Roman" w:cs="Times New Roman"/>
                <w:color w:val="000000" w:themeColor="text1"/>
                <w:sz w:val="28"/>
                <w:szCs w:val="28"/>
                <w:lang w:eastAsia="zh-CN"/>
              </w:rPr>
              <w:t>帶來</w:t>
            </w:r>
            <w:r w:rsidR="00F74A80" w:rsidRPr="00633CF8">
              <w:rPr>
                <w:rFonts w:ascii="Times New Roman" w:eastAsia="標楷體" w:hAnsi="Times New Roman" w:cs="Times New Roman"/>
                <w:color w:val="000000" w:themeColor="text1"/>
                <w:sz w:val="28"/>
                <w:szCs w:val="28"/>
                <w:lang w:eastAsia="zh-CN"/>
              </w:rPr>
              <w:t>的</w:t>
            </w:r>
            <w:r w:rsidR="0060077D" w:rsidRPr="00633CF8">
              <w:rPr>
                <w:rFonts w:ascii="Times New Roman" w:eastAsia="標楷體" w:hAnsi="Times New Roman" w:cs="Times New Roman"/>
                <w:color w:val="000000" w:themeColor="text1"/>
                <w:sz w:val="28"/>
                <w:szCs w:val="28"/>
                <w:lang w:eastAsia="zh-CN"/>
              </w:rPr>
              <w:t>不同</w:t>
            </w:r>
            <w:r w:rsidR="00F74A80" w:rsidRPr="00633CF8">
              <w:rPr>
                <w:rFonts w:ascii="Times New Roman" w:eastAsia="標楷體" w:hAnsi="Times New Roman" w:cs="Times New Roman"/>
                <w:color w:val="000000" w:themeColor="text1"/>
                <w:sz w:val="28"/>
                <w:szCs w:val="28"/>
                <w:lang w:eastAsia="zh-CN"/>
              </w:rPr>
              <w:t>產業</w:t>
            </w:r>
            <w:r w:rsidR="00431A2D" w:rsidRPr="00633CF8">
              <w:rPr>
                <w:rFonts w:ascii="Times New Roman" w:eastAsia="標楷體" w:hAnsi="Times New Roman" w:cs="Times New Roman"/>
                <w:color w:val="000000" w:themeColor="text1"/>
                <w:sz w:val="28"/>
                <w:szCs w:val="28"/>
                <w:lang w:eastAsia="zh-CN"/>
              </w:rPr>
              <w:t>發展效果。</w:t>
            </w:r>
          </w:p>
          <w:p w14:paraId="3CC96680" w14:textId="77777777" w:rsidR="00B163CC" w:rsidRPr="00633CF8" w:rsidRDefault="00B163CC" w:rsidP="00B163CC">
            <w:pPr>
              <w:adjustRightInd w:val="0"/>
              <w:rPr>
                <w:rFonts w:ascii="Times New Roman" w:eastAsia="SimSun" w:hAnsi="Times New Roman" w:cs="Times New Roman"/>
                <w:color w:val="000000" w:themeColor="text1"/>
                <w:sz w:val="28"/>
                <w:szCs w:val="28"/>
                <w:lang w:eastAsia="zh-CN"/>
              </w:rPr>
            </w:pPr>
          </w:p>
          <w:p w14:paraId="008C2517" w14:textId="73422712" w:rsidR="00B163CC" w:rsidRDefault="00B163CC" w:rsidP="00B163CC">
            <w:pPr>
              <w:adjustRightInd w:val="0"/>
              <w:spacing w:line="440" w:lineRule="exact"/>
              <w:jc w:val="both"/>
              <w:rPr>
                <w:rFonts w:ascii="Times New Roman" w:eastAsia="標楷體" w:hAnsi="Times New Roman" w:cs="Times New Roman"/>
                <w:sz w:val="28"/>
                <w:szCs w:val="28"/>
                <w:lang w:eastAsia="zh-CN"/>
              </w:rPr>
            </w:pPr>
            <w:r>
              <w:rPr>
                <w:rFonts w:ascii="Times New Roman" w:eastAsia="標楷體" w:hAnsi="Times New Roman" w:cs="Times New Roman"/>
                <w:b/>
                <w:sz w:val="28"/>
                <w:szCs w:val="28"/>
                <w:lang w:eastAsia="zh-CN"/>
              </w:rPr>
              <w:t xml:space="preserve"> (</w:t>
            </w:r>
            <w:r>
              <w:rPr>
                <w:rFonts w:ascii="Times New Roman" w:eastAsia="標楷體" w:hAnsi="Times New Roman" w:cs="Times New Roman" w:hint="eastAsia"/>
                <w:b/>
                <w:sz w:val="28"/>
                <w:szCs w:val="28"/>
              </w:rPr>
              <w:t>景氣循環指標診斷預測系統設計指導與分析：許添財教授</w:t>
            </w:r>
            <w:r>
              <w:rPr>
                <w:rFonts w:ascii="Times New Roman" w:eastAsia="標楷體" w:hAnsi="Times New Roman" w:cs="Times New Roman"/>
                <w:b/>
                <w:sz w:val="28"/>
                <w:szCs w:val="28"/>
              </w:rPr>
              <w:t>)</w:t>
            </w:r>
          </w:p>
          <w:p w14:paraId="1B7794A9" w14:textId="77777777" w:rsidR="00B163CC" w:rsidRDefault="00B163CC" w:rsidP="00B163CC">
            <w:pPr>
              <w:adjustRightInd w:val="0"/>
              <w:spacing w:line="440" w:lineRule="exact"/>
              <w:rPr>
                <w:rStyle w:val="a5"/>
              </w:rPr>
            </w:pPr>
            <w:r>
              <w:rPr>
                <w:rFonts w:ascii="Times New Roman" w:eastAsia="標楷體" w:hAnsi="Times New Roman" w:cs="Times New Roman" w:hint="eastAsia"/>
                <w:b/>
                <w:sz w:val="28"/>
                <w:szCs w:val="28"/>
              </w:rPr>
              <w:t>新聞聯絡人</w:t>
            </w:r>
            <w:r>
              <w:rPr>
                <w:rFonts w:ascii="Times New Roman" w:eastAsia="標楷體" w:hAnsi="Times New Roman" w:cs="Times New Roman"/>
                <w:b/>
                <w:sz w:val="28"/>
                <w:szCs w:val="28"/>
              </w:rPr>
              <w:t xml:space="preserve"> </w:t>
            </w:r>
            <w:r>
              <w:rPr>
                <w:rFonts w:ascii="Times New Roman" w:eastAsia="標楷體" w:hAnsi="Times New Roman" w:cs="Times New Roman" w:hint="eastAsia"/>
                <w:b/>
                <w:sz w:val="28"/>
                <w:szCs w:val="28"/>
              </w:rPr>
              <w:t>公關</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王心怡</w:t>
            </w:r>
            <w:r>
              <w:rPr>
                <w:rFonts w:ascii="Times New Roman" w:eastAsia="標楷體" w:hAnsi="Times New Roman" w:cs="Times New Roman"/>
                <w:sz w:val="28"/>
                <w:szCs w:val="28"/>
              </w:rPr>
              <w:t xml:space="preserve"> 02-7707-4829 / 0936-250-077</w:t>
            </w:r>
            <w:r>
              <w:rPr>
                <w:rFonts w:ascii="Times New Roman" w:eastAsia="標楷體" w:hAnsi="Times New Roman" w:cs="Times New Roman" w:hint="eastAsia"/>
                <w:sz w:val="28"/>
                <w:szCs w:val="28"/>
              </w:rPr>
              <w:t>；</w:t>
            </w:r>
            <w:hyperlink r:id="rId9" w:history="1">
              <w:r>
                <w:rPr>
                  <w:rStyle w:val="a5"/>
                  <w:rFonts w:ascii="Times New Roman" w:eastAsia="標楷體" w:hAnsi="Times New Roman" w:cs="Times New Roman"/>
                  <w:sz w:val="28"/>
                  <w:szCs w:val="28"/>
                </w:rPr>
                <w:t>mandywang@cdri.org.tw</w:t>
              </w:r>
            </w:hyperlink>
          </w:p>
          <w:p w14:paraId="558EDECD" w14:textId="77777777" w:rsidR="00B163CC" w:rsidRPr="00B163CC" w:rsidRDefault="00B163CC" w:rsidP="00B163CC">
            <w:pPr>
              <w:tabs>
                <w:tab w:val="left" w:pos="720"/>
              </w:tabs>
              <w:autoSpaceDE w:val="0"/>
              <w:autoSpaceDN w:val="0"/>
              <w:adjustRightInd w:val="0"/>
              <w:spacing w:line="440" w:lineRule="exact"/>
              <w:rPr>
                <w:kern w:val="0"/>
                <w:lang w:val="zh-TW"/>
              </w:rPr>
            </w:pPr>
            <w:r w:rsidRPr="00B163CC">
              <w:rPr>
                <w:rStyle w:val="a5"/>
                <w:rFonts w:ascii="Times New Roman" w:eastAsia="標楷體" w:hAnsi="Times New Roman" w:cs="Times New Roman"/>
                <w:color w:val="auto"/>
                <w:sz w:val="28"/>
                <w:szCs w:val="28"/>
                <w:u w:val="none"/>
              </w:rPr>
              <w:t xml:space="preserve"> </w:t>
            </w:r>
            <w:r w:rsidRPr="00B163CC">
              <w:rPr>
                <w:rStyle w:val="a5"/>
                <w:rFonts w:ascii="Times New Roman" w:eastAsia="標楷體" w:hAnsi="Times New Roman" w:cs="Times New Roman" w:hint="eastAsia"/>
                <w:color w:val="auto"/>
                <w:sz w:val="28"/>
                <w:szCs w:val="28"/>
                <w:u w:val="none"/>
              </w:rPr>
              <w:t xml:space="preserve">　　　　　景氣循環預測小組系統運算</w:t>
            </w:r>
            <w:r w:rsidRPr="00B163CC">
              <w:rPr>
                <w:rStyle w:val="a5"/>
                <w:rFonts w:ascii="Times New Roman" w:eastAsia="標楷體" w:hAnsi="Times New Roman" w:cs="Times New Roman"/>
                <w:color w:val="auto"/>
                <w:sz w:val="28"/>
                <w:szCs w:val="28"/>
                <w:u w:val="none"/>
                <w:lang w:eastAsia="zh-CN"/>
              </w:rPr>
              <w:t xml:space="preserve"> </w:t>
            </w:r>
            <w:r w:rsidRPr="00B163CC">
              <w:rPr>
                <w:rFonts w:ascii="Times New Roman" w:eastAsia="標楷體" w:hAnsi="Times New Roman" w:cs="Times New Roman" w:hint="eastAsia"/>
                <w:sz w:val="28"/>
                <w:szCs w:val="28"/>
              </w:rPr>
              <w:t>彭俊能</w:t>
            </w:r>
            <w:r w:rsidRPr="00B163CC">
              <w:rPr>
                <w:rFonts w:ascii="Times New Roman" w:eastAsia="標楷體" w:hAnsi="Times New Roman" w:cs="Times New Roman"/>
                <w:sz w:val="28"/>
                <w:szCs w:val="28"/>
              </w:rPr>
              <w:t xml:space="preserve"> </w:t>
            </w:r>
            <w:r w:rsidRPr="00B163CC">
              <w:rPr>
                <w:rFonts w:ascii="Times New Roman" w:eastAsia="標楷體" w:hAnsi="Times New Roman" w:cs="Times New Roman" w:hint="eastAsia"/>
                <w:sz w:val="28"/>
                <w:szCs w:val="28"/>
              </w:rPr>
              <w:t>博士</w:t>
            </w:r>
            <w:r w:rsidRPr="00B163CC">
              <w:rPr>
                <w:rFonts w:ascii="Times New Roman" w:eastAsia="標楷體" w:hAnsi="Times New Roman" w:cs="Times New Roman"/>
                <w:sz w:val="28"/>
                <w:szCs w:val="28"/>
              </w:rPr>
              <w:t xml:space="preserve"> 02-7707-4865</w:t>
            </w:r>
          </w:p>
          <w:p w14:paraId="650647C8" w14:textId="77777777" w:rsidR="00B163CC" w:rsidRPr="00B163CC" w:rsidRDefault="00B163CC" w:rsidP="00B163CC">
            <w:pPr>
              <w:tabs>
                <w:tab w:val="left" w:pos="720"/>
              </w:tabs>
              <w:autoSpaceDE w:val="0"/>
              <w:autoSpaceDN w:val="0"/>
              <w:adjustRightInd w:val="0"/>
              <w:spacing w:line="440" w:lineRule="exact"/>
              <w:rPr>
                <w:rFonts w:ascii="Times New Roman" w:eastAsia="標楷體" w:hAnsi="Times New Roman" w:cs="Times New Roman"/>
                <w:kern w:val="0"/>
                <w:sz w:val="28"/>
                <w:szCs w:val="28"/>
                <w:highlight w:val="white"/>
                <w:lang w:val="zh-TW"/>
              </w:rPr>
            </w:pPr>
            <w:r w:rsidRPr="00B163CC">
              <w:rPr>
                <w:rStyle w:val="a5"/>
                <w:rFonts w:ascii="Times New Roman" w:eastAsia="標楷體" w:hAnsi="Times New Roman" w:cs="Times New Roman"/>
                <w:color w:val="auto"/>
                <w:sz w:val="28"/>
                <w:szCs w:val="28"/>
                <w:u w:val="none"/>
              </w:rPr>
              <w:t xml:space="preserve"> </w:t>
            </w:r>
            <w:r w:rsidRPr="00B163CC">
              <w:rPr>
                <w:rStyle w:val="a5"/>
                <w:rFonts w:ascii="Times New Roman" w:eastAsia="標楷體" w:hAnsi="Times New Roman" w:cs="Times New Roman" w:hint="eastAsia"/>
                <w:color w:val="auto"/>
                <w:sz w:val="28"/>
                <w:szCs w:val="28"/>
                <w:u w:val="none"/>
              </w:rPr>
              <w:t xml:space="preserve">　　　　　景氣循環預測小組系統運算</w:t>
            </w:r>
            <w:r w:rsidRPr="00B163CC">
              <w:rPr>
                <w:rStyle w:val="a5"/>
                <w:rFonts w:ascii="Times New Roman" w:eastAsia="標楷體" w:hAnsi="Times New Roman" w:cs="Times New Roman"/>
                <w:color w:val="auto"/>
                <w:sz w:val="28"/>
                <w:szCs w:val="28"/>
                <w:u w:val="none"/>
                <w:lang w:eastAsia="zh-CN"/>
              </w:rPr>
              <w:t xml:space="preserve"> </w:t>
            </w:r>
            <w:r w:rsidRPr="00B163CC">
              <w:rPr>
                <w:rStyle w:val="a5"/>
                <w:rFonts w:ascii="Times New Roman" w:eastAsia="標楷體" w:hAnsi="Times New Roman" w:cs="Times New Roman" w:hint="eastAsia"/>
                <w:color w:val="auto"/>
                <w:sz w:val="28"/>
                <w:szCs w:val="28"/>
                <w:u w:val="none"/>
              </w:rPr>
              <w:t>許世璋</w:t>
            </w:r>
            <w:r w:rsidRPr="00B163CC">
              <w:rPr>
                <w:rStyle w:val="a5"/>
                <w:rFonts w:ascii="Times New Roman" w:eastAsia="標楷體" w:hAnsi="Times New Roman" w:cs="Times New Roman"/>
                <w:color w:val="auto"/>
                <w:sz w:val="28"/>
                <w:szCs w:val="28"/>
                <w:u w:val="none"/>
              </w:rPr>
              <w:t xml:space="preserve"> </w:t>
            </w:r>
            <w:r w:rsidRPr="00B163CC">
              <w:rPr>
                <w:rFonts w:ascii="Times New Roman" w:eastAsia="標楷體" w:hAnsi="Times New Roman" w:cs="Times New Roman" w:hint="eastAsia"/>
                <w:sz w:val="28"/>
                <w:szCs w:val="28"/>
              </w:rPr>
              <w:t>博士</w:t>
            </w:r>
            <w:r w:rsidRPr="00B163CC">
              <w:rPr>
                <w:rFonts w:ascii="Times New Roman" w:eastAsia="標楷體" w:hAnsi="Times New Roman" w:cs="Times New Roman"/>
                <w:sz w:val="28"/>
                <w:szCs w:val="28"/>
              </w:rPr>
              <w:t xml:space="preserve"> 02-7707-4852</w:t>
            </w:r>
          </w:p>
          <w:p w14:paraId="0657FF11" w14:textId="79EC6E57" w:rsidR="000F79D3" w:rsidRDefault="000F79D3" w:rsidP="000F79D3">
            <w:pPr>
              <w:adjustRightInd w:val="0"/>
              <w:jc w:val="center"/>
              <w:rPr>
                <w:rFonts w:ascii="Times New Roman" w:eastAsia="標楷體" w:hAnsi="Times New Roman" w:cs="Times New Roman"/>
                <w:sz w:val="28"/>
                <w:szCs w:val="28"/>
              </w:rPr>
            </w:pPr>
          </w:p>
          <w:p w14:paraId="7E51FFF4" w14:textId="2AD539B0" w:rsidR="006166BC" w:rsidRDefault="006166BC" w:rsidP="000F79D3">
            <w:pPr>
              <w:adjustRightInd w:val="0"/>
              <w:jc w:val="center"/>
              <w:rPr>
                <w:rFonts w:ascii="Times New Roman" w:eastAsia="標楷體" w:hAnsi="Times New Roman" w:cs="Times New Roman"/>
                <w:sz w:val="28"/>
                <w:szCs w:val="28"/>
              </w:rPr>
            </w:pPr>
          </w:p>
          <w:p w14:paraId="5112ED21" w14:textId="77777777" w:rsidR="006166BC" w:rsidRDefault="006166BC" w:rsidP="000F79D3">
            <w:pPr>
              <w:adjustRightInd w:val="0"/>
              <w:jc w:val="center"/>
              <w:rPr>
                <w:rFonts w:ascii="Times New Roman" w:eastAsia="標楷體" w:hAnsi="Times New Roman" w:cs="Times New Roman"/>
                <w:sz w:val="28"/>
                <w:szCs w:val="28"/>
              </w:rPr>
            </w:pPr>
          </w:p>
          <w:p w14:paraId="0637A826" w14:textId="77777777" w:rsidR="00B6561E" w:rsidRPr="00B163CC" w:rsidRDefault="00B6561E" w:rsidP="000F79D3">
            <w:pPr>
              <w:adjustRightInd w:val="0"/>
              <w:jc w:val="center"/>
              <w:rPr>
                <w:rFonts w:ascii="Times New Roman" w:eastAsia="標楷體" w:hAnsi="Times New Roman" w:cs="Times New Roman"/>
                <w:sz w:val="28"/>
                <w:szCs w:val="28"/>
              </w:rPr>
            </w:pPr>
          </w:p>
          <w:p w14:paraId="78E0D77C" w14:textId="77777777" w:rsidR="000F79D3" w:rsidRPr="00B163CC" w:rsidRDefault="000F79D3" w:rsidP="00500C5B">
            <w:pPr>
              <w:spacing w:beforeLines="50" w:before="180" w:afterLines="50" w:after="180"/>
              <w:jc w:val="center"/>
              <w:rPr>
                <w:rFonts w:ascii="Times New Roman" w:eastAsia="標楷體" w:hAnsi="Times New Roman" w:cs="Times New Roman"/>
                <w:b/>
                <w:bCs/>
                <w:sz w:val="48"/>
                <w:szCs w:val="48"/>
                <w:bdr w:val="single" w:sz="4" w:space="0" w:color="auto"/>
                <w:shd w:val="pct15" w:color="auto" w:fill="FFFFFF"/>
                <w:lang w:eastAsia="zh-CN"/>
              </w:rPr>
            </w:pPr>
            <w:r w:rsidRPr="00B163CC">
              <w:rPr>
                <w:rFonts w:ascii="Times New Roman" w:eastAsia="標楷體" w:hAnsi="Times New Roman" w:cs="Times New Roman"/>
                <w:b/>
                <w:bCs/>
                <w:sz w:val="48"/>
                <w:szCs w:val="48"/>
                <w:bdr w:val="single" w:sz="4" w:space="0" w:color="auto"/>
                <w:shd w:val="pct15" w:color="auto" w:fill="FFFFFF"/>
                <w:lang w:eastAsia="zh-CN"/>
              </w:rPr>
              <w:t>附表</w:t>
            </w:r>
          </w:p>
          <w:p w14:paraId="64B7A59C" w14:textId="77777777" w:rsidR="000F79D3" w:rsidRPr="00B163CC" w:rsidRDefault="000F79D3" w:rsidP="000F79D3">
            <w:pPr>
              <w:jc w:val="center"/>
              <w:rPr>
                <w:rFonts w:ascii="Times New Roman" w:eastAsia="標楷體" w:hAnsi="Times New Roman" w:cs="Times New Roman"/>
                <w:szCs w:val="24"/>
              </w:rPr>
            </w:pPr>
            <w:r w:rsidRPr="00B163CC">
              <w:rPr>
                <w:rFonts w:ascii="Times New Roman" w:eastAsia="標楷體" w:hAnsi="Times New Roman" w:cs="Times New Roman"/>
                <w:lang w:eastAsia="zh-CN"/>
              </w:rPr>
              <w:t>B</w:t>
            </w:r>
            <w:r w:rsidRPr="00B163CC">
              <w:rPr>
                <w:rFonts w:ascii="Times New Roman" w:eastAsia="標楷體" w:hAnsi="Times New Roman" w:cs="Times New Roman"/>
              </w:rPr>
              <w:t>usiness Cycle Coincident Composite Index for Taiwan Service Sector</w:t>
            </w:r>
          </w:p>
          <w:p w14:paraId="74592B5C" w14:textId="77777777" w:rsidR="000F79D3" w:rsidRPr="00B163CC" w:rsidRDefault="000F79D3" w:rsidP="000F79D3">
            <w:pPr>
              <w:jc w:val="center"/>
              <w:rPr>
                <w:rFonts w:ascii="Times New Roman" w:eastAsia="標楷體" w:hAnsi="Times New Roman" w:cs="Times New Roman"/>
                <w:b/>
                <w:bCs/>
                <w:lang w:eastAsia="zh-CN"/>
              </w:rPr>
            </w:pPr>
            <w:r w:rsidRPr="00B163CC">
              <w:rPr>
                <w:rFonts w:ascii="Times New Roman" w:eastAsia="標楷體" w:hAnsi="Times New Roman" w:cs="Times New Roman"/>
                <w:b/>
                <w:bCs/>
              </w:rPr>
              <w:lastRenderedPageBreak/>
              <w:t>台灣商業服務業景氣循環同行指標綜合指數</w:t>
            </w:r>
          </w:p>
          <w:tbl>
            <w:tblPr>
              <w:tblStyle w:val="ac"/>
              <w:tblW w:w="0" w:type="auto"/>
              <w:jc w:val="center"/>
              <w:tblInd w:w="0" w:type="dxa"/>
              <w:tblLayout w:type="fixed"/>
              <w:tblCellMar>
                <w:left w:w="0" w:type="dxa"/>
                <w:right w:w="0" w:type="dxa"/>
              </w:tblCellMar>
              <w:tblLook w:val="04A0" w:firstRow="1" w:lastRow="0" w:firstColumn="1" w:lastColumn="0" w:noHBand="0" w:noVBand="1"/>
            </w:tblPr>
            <w:tblGrid>
              <w:gridCol w:w="846"/>
              <w:gridCol w:w="283"/>
              <w:gridCol w:w="284"/>
              <w:gridCol w:w="146"/>
              <w:gridCol w:w="1933"/>
              <w:gridCol w:w="619"/>
              <w:gridCol w:w="3124"/>
            </w:tblGrid>
            <w:tr w:rsidR="000F79D3" w:rsidRPr="00B163CC" w14:paraId="6A40DAE8" w14:textId="77777777" w:rsidTr="008123C9">
              <w:trPr>
                <w:jc w:val="center"/>
              </w:trPr>
              <w:tc>
                <w:tcPr>
                  <w:tcW w:w="1559" w:type="dxa"/>
                  <w:gridSpan w:val="4"/>
                  <w:tcBorders>
                    <w:top w:val="single" w:sz="4" w:space="0" w:color="auto"/>
                    <w:left w:val="single" w:sz="4" w:space="0" w:color="auto"/>
                    <w:bottom w:val="single" w:sz="4" w:space="0" w:color="auto"/>
                    <w:right w:val="single" w:sz="4" w:space="0" w:color="auto"/>
                  </w:tcBorders>
                  <w:hideMark/>
                </w:tcPr>
                <w:p w14:paraId="1BE15286"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年</w:t>
                  </w:r>
                  <w:r w:rsidRPr="00B163CC">
                    <w:rPr>
                      <w:rFonts w:ascii="Times New Roman" w:eastAsia="標楷體" w:hAnsi="Times New Roman" w:cs="Times New Roman"/>
                    </w:rPr>
                    <w:t>/</w:t>
                  </w:r>
                  <w:r w:rsidRPr="00B163CC">
                    <w:rPr>
                      <w:rFonts w:ascii="Times New Roman" w:eastAsia="標楷體" w:hAnsi="Times New Roman" w:cs="Times New Roman"/>
                    </w:rPr>
                    <w:t>月</w:t>
                  </w:r>
                </w:p>
              </w:tc>
              <w:tc>
                <w:tcPr>
                  <w:tcW w:w="2552" w:type="dxa"/>
                  <w:gridSpan w:val="2"/>
                  <w:tcBorders>
                    <w:top w:val="single" w:sz="4" w:space="0" w:color="auto"/>
                    <w:left w:val="single" w:sz="4" w:space="0" w:color="auto"/>
                    <w:bottom w:val="single" w:sz="4" w:space="0" w:color="auto"/>
                    <w:right w:val="single" w:sz="4" w:space="0" w:color="auto"/>
                  </w:tcBorders>
                  <w:hideMark/>
                </w:tcPr>
                <w:p w14:paraId="2E2799F3"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循環指數</w:t>
                  </w:r>
                  <w:r w:rsidRPr="00B163CC">
                    <w:rPr>
                      <w:rFonts w:ascii="Times New Roman" w:eastAsia="標楷體" w:hAnsi="Times New Roman" w:cs="Times New Roman"/>
                    </w:rPr>
                    <w:t>(</w:t>
                  </w:r>
                  <w:r w:rsidRPr="00B163CC">
                    <w:rPr>
                      <w:rFonts w:ascii="Times New Roman" w:eastAsia="標楷體" w:hAnsi="Times New Roman" w:cs="Times New Roman"/>
                    </w:rPr>
                    <w:t>趨勢值</w:t>
                  </w:r>
                  <w:r w:rsidRPr="00B163CC">
                    <w:rPr>
                      <w:rFonts w:ascii="Times New Roman" w:eastAsia="標楷體" w:hAnsi="Times New Roman" w:cs="Times New Roman"/>
                    </w:rPr>
                    <w:t>=100)</w:t>
                  </w:r>
                </w:p>
              </w:tc>
              <w:tc>
                <w:tcPr>
                  <w:tcW w:w="3124" w:type="dxa"/>
                  <w:tcBorders>
                    <w:top w:val="single" w:sz="4" w:space="0" w:color="auto"/>
                    <w:left w:val="single" w:sz="4" w:space="0" w:color="auto"/>
                    <w:bottom w:val="single" w:sz="4" w:space="0" w:color="auto"/>
                    <w:right w:val="single" w:sz="4" w:space="0" w:color="auto"/>
                  </w:tcBorders>
                  <w:hideMark/>
                </w:tcPr>
                <w:p w14:paraId="4049CCC1"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備</w:t>
                  </w:r>
                  <w:r w:rsidRPr="00B163CC">
                    <w:rPr>
                      <w:rFonts w:ascii="Times New Roman" w:eastAsia="標楷體" w:hAnsi="Times New Roman" w:cs="Times New Roman"/>
                    </w:rPr>
                    <w:t xml:space="preserve">    </w:t>
                  </w:r>
                  <w:r w:rsidRPr="00B163CC">
                    <w:rPr>
                      <w:rFonts w:ascii="Times New Roman" w:eastAsia="標楷體" w:hAnsi="Times New Roman" w:cs="Times New Roman"/>
                    </w:rPr>
                    <w:t>註</w:t>
                  </w:r>
                </w:p>
              </w:tc>
            </w:tr>
            <w:tr w:rsidR="00762445" w:rsidRPr="00B163CC" w14:paraId="53A7C2B0" w14:textId="77777777" w:rsidTr="00E55D9A">
              <w:trPr>
                <w:trHeight w:val="301"/>
                <w:jc w:val="center"/>
              </w:trPr>
              <w:tc>
                <w:tcPr>
                  <w:tcW w:w="1559" w:type="dxa"/>
                  <w:gridSpan w:val="4"/>
                  <w:tcBorders>
                    <w:top w:val="single" w:sz="4" w:space="0" w:color="auto"/>
                    <w:left w:val="single" w:sz="4" w:space="0" w:color="auto"/>
                    <w:bottom w:val="nil"/>
                    <w:right w:val="single" w:sz="4" w:space="0" w:color="auto"/>
                  </w:tcBorders>
                </w:tcPr>
                <w:p w14:paraId="551AEB78"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2018-</w:t>
                  </w:r>
                  <w:r w:rsidRPr="00B163CC">
                    <w:rPr>
                      <w:rFonts w:ascii="Times New Roman" w:eastAsia="標楷體" w:hAnsi="Times New Roman" w:cs="Times New Roman"/>
                      <w:lang w:eastAsia="zh-TW"/>
                    </w:rPr>
                    <w:t>1</w:t>
                  </w:r>
                  <w:r w:rsidR="00C96801" w:rsidRPr="00B163CC">
                    <w:rPr>
                      <w:rFonts w:ascii="Times New Roman" w:eastAsia="標楷體" w:hAnsi="Times New Roman" w:cs="Times New Roman"/>
                      <w:lang w:eastAsia="zh-TW"/>
                    </w:rPr>
                    <w:t>2</w:t>
                  </w:r>
                </w:p>
              </w:tc>
              <w:tc>
                <w:tcPr>
                  <w:tcW w:w="1933" w:type="dxa"/>
                  <w:tcBorders>
                    <w:top w:val="single" w:sz="4" w:space="0" w:color="auto"/>
                    <w:left w:val="single" w:sz="4" w:space="0" w:color="auto"/>
                    <w:bottom w:val="nil"/>
                    <w:right w:val="nil"/>
                  </w:tcBorders>
                  <w:vAlign w:val="center"/>
                  <w:hideMark/>
                </w:tcPr>
                <w:p w14:paraId="04C837BC" w14:textId="03C41233" w:rsidR="00762445" w:rsidRPr="00B163CC" w:rsidRDefault="00CD0947"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lang w:eastAsia="zh-CN"/>
                    </w:rPr>
                    <w:t xml:space="preserve">     </w:t>
                  </w:r>
                  <w:r w:rsidR="00762445" w:rsidRPr="00B163CC">
                    <w:rPr>
                      <w:rFonts w:ascii="Times New Roman" w:eastAsia="標楷體" w:hAnsi="Times New Roman" w:cs="Times New Roman"/>
                    </w:rPr>
                    <w:t>100.</w:t>
                  </w:r>
                  <w:r w:rsidR="00C96801" w:rsidRPr="00B163CC">
                    <w:rPr>
                      <w:rFonts w:ascii="Times New Roman" w:eastAsia="標楷體" w:hAnsi="Times New Roman" w:cs="Times New Roman"/>
                    </w:rPr>
                    <w:t>0308</w:t>
                  </w:r>
                </w:p>
              </w:tc>
              <w:tc>
                <w:tcPr>
                  <w:tcW w:w="619" w:type="dxa"/>
                  <w:tcBorders>
                    <w:top w:val="single" w:sz="4" w:space="0" w:color="auto"/>
                    <w:left w:val="nil"/>
                    <w:bottom w:val="nil"/>
                    <w:right w:val="single" w:sz="4" w:space="0" w:color="auto"/>
                  </w:tcBorders>
                  <w:hideMark/>
                </w:tcPr>
                <w:p w14:paraId="100ED24F"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w:t>
                  </w:r>
                  <w:r w:rsidRPr="00B163CC">
                    <w:rPr>
                      <w:rFonts w:ascii="Times New Roman" w:eastAsia="標楷體" w:hAnsi="Times New Roman" w:cs="Times New Roman"/>
                    </w:rPr>
                    <w:t>p</w:t>
                  </w:r>
                  <w:r w:rsidRPr="00B163CC">
                    <w:rPr>
                      <w:rFonts w:ascii="Times New Roman" w:eastAsia="標楷體" w:hAnsi="Times New Roman" w:cs="Times New Roman"/>
                    </w:rPr>
                    <w:t>）</w:t>
                  </w:r>
                </w:p>
              </w:tc>
              <w:tc>
                <w:tcPr>
                  <w:tcW w:w="3124" w:type="dxa"/>
                  <w:tcBorders>
                    <w:top w:val="single" w:sz="4" w:space="0" w:color="auto"/>
                    <w:left w:val="single" w:sz="4" w:space="0" w:color="auto"/>
                    <w:bottom w:val="nil"/>
                    <w:right w:val="single" w:sz="4" w:space="0" w:color="auto"/>
                  </w:tcBorders>
                  <w:tcMar>
                    <w:top w:w="0" w:type="dxa"/>
                    <w:left w:w="85" w:type="dxa"/>
                    <w:bottom w:w="0" w:type="dxa"/>
                    <w:right w:w="85" w:type="dxa"/>
                  </w:tcMar>
                  <w:hideMark/>
                </w:tcPr>
                <w:p w14:paraId="23A6DE38" w14:textId="084345BF" w:rsidR="00762445" w:rsidRPr="00B163CC" w:rsidRDefault="00762445"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rPr>
                    <w:t>以</w:t>
                  </w:r>
                  <w:r w:rsidRPr="00B163CC">
                    <w:rPr>
                      <w:rFonts w:ascii="Times New Roman" w:eastAsia="標楷體" w:hAnsi="Times New Roman" w:cs="Times New Roman"/>
                    </w:rPr>
                    <w:t>2018/</w:t>
                  </w:r>
                  <w:r w:rsidR="00637EFF" w:rsidRPr="00B163CC">
                    <w:rPr>
                      <w:rFonts w:ascii="Times New Roman" w:eastAsia="標楷體" w:hAnsi="Times New Roman" w:cs="Times New Roman"/>
                    </w:rPr>
                    <w:t>4</w:t>
                  </w:r>
                  <w:r w:rsidR="008123C9" w:rsidRPr="00B163CC">
                    <w:rPr>
                      <w:rFonts w:ascii="Times New Roman" w:eastAsia="標楷體" w:hAnsi="Times New Roman" w:cs="Times New Roman"/>
                      <w:lang w:eastAsia="zh-TW"/>
                    </w:rPr>
                    <w:t>~</w:t>
                  </w:r>
                  <w:r w:rsidR="00D40BB3" w:rsidRPr="00B163CC">
                    <w:rPr>
                      <w:rFonts w:ascii="Times New Roman" w:eastAsia="標楷體" w:hAnsi="Times New Roman" w:cs="Times New Roman"/>
                      <w:lang w:eastAsia="zh-CN"/>
                    </w:rPr>
                    <w:t>6</w:t>
                  </w:r>
                  <w:r w:rsidRPr="00B163CC">
                    <w:rPr>
                      <w:rFonts w:ascii="Times New Roman" w:eastAsia="標楷體" w:hAnsi="Times New Roman" w:cs="Times New Roman"/>
                    </w:rPr>
                    <w:t>領先指數</w:t>
                  </w:r>
                  <w:r w:rsidR="00342B42" w:rsidRPr="00B163CC">
                    <w:rPr>
                      <w:rFonts w:ascii="Times New Roman" w:eastAsia="標楷體" w:hAnsi="Times New Roman" w:cs="Times New Roman"/>
                      <w:lang w:eastAsia="zh-CN"/>
                    </w:rPr>
                    <w:t>(</w:t>
                  </w:r>
                  <w:r w:rsidR="00C32DCD" w:rsidRPr="00B163CC">
                    <w:rPr>
                      <w:rFonts w:ascii="Times New Roman" w:eastAsia="標楷體" w:hAnsi="Times New Roman" w:cs="Times New Roman"/>
                      <w:lang w:eastAsia="zh-CN"/>
                    </w:rPr>
                    <w:t>含部分</w:t>
                  </w:r>
                  <w:r w:rsidRPr="00B163CC">
                    <w:rPr>
                      <w:rFonts w:ascii="Times New Roman" w:eastAsia="標楷體" w:hAnsi="Times New Roman" w:cs="Times New Roman"/>
                    </w:rPr>
                    <w:t>推估</w:t>
                  </w:r>
                  <w:r w:rsidR="00C32DCD" w:rsidRPr="00B163CC">
                    <w:rPr>
                      <w:rFonts w:ascii="Times New Roman" w:eastAsia="標楷體" w:hAnsi="Times New Roman" w:cs="Times New Roman"/>
                      <w:lang w:eastAsia="zh-CN"/>
                    </w:rPr>
                    <w:t>值</w:t>
                  </w:r>
                  <w:r w:rsidR="009B72E9" w:rsidRPr="00B163CC">
                    <w:rPr>
                      <w:rFonts w:ascii="Times New Roman" w:eastAsia="標楷體" w:hAnsi="Times New Roman" w:cs="Times New Roman"/>
                      <w:lang w:eastAsia="zh-CN"/>
                    </w:rPr>
                    <w:t>)</w:t>
                  </w:r>
                  <w:r w:rsidR="00C32DCD" w:rsidRPr="00B163CC">
                    <w:rPr>
                      <w:rFonts w:ascii="Times New Roman" w:eastAsia="標楷體" w:hAnsi="Times New Roman" w:cs="Times New Roman"/>
                      <w:lang w:eastAsia="zh-CN"/>
                    </w:rPr>
                    <w:t>所做預測</w:t>
                  </w:r>
                </w:p>
              </w:tc>
            </w:tr>
            <w:tr w:rsidR="00762445" w:rsidRPr="00B163CC" w14:paraId="37BFE557" w14:textId="77777777" w:rsidTr="00E55D9A">
              <w:trPr>
                <w:trHeight w:val="300"/>
                <w:jc w:val="center"/>
              </w:trPr>
              <w:tc>
                <w:tcPr>
                  <w:tcW w:w="1559" w:type="dxa"/>
                  <w:gridSpan w:val="4"/>
                  <w:tcBorders>
                    <w:top w:val="nil"/>
                    <w:left w:val="single" w:sz="4" w:space="0" w:color="auto"/>
                    <w:bottom w:val="nil"/>
                    <w:right w:val="single" w:sz="4" w:space="0" w:color="auto"/>
                  </w:tcBorders>
                </w:tcPr>
                <w:p w14:paraId="65E4CA8D"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2018-</w:t>
                  </w:r>
                  <w:r w:rsidR="008123C9" w:rsidRPr="00B163CC">
                    <w:rPr>
                      <w:rFonts w:ascii="Times New Roman" w:eastAsia="標楷體" w:hAnsi="Times New Roman" w:cs="Times New Roman"/>
                    </w:rPr>
                    <w:t>1</w:t>
                  </w:r>
                  <w:r w:rsidR="00C96801" w:rsidRPr="00B163CC">
                    <w:rPr>
                      <w:rFonts w:ascii="Times New Roman" w:eastAsia="標楷體" w:hAnsi="Times New Roman" w:cs="Times New Roman"/>
                    </w:rPr>
                    <w:t>1</w:t>
                  </w:r>
                </w:p>
              </w:tc>
              <w:tc>
                <w:tcPr>
                  <w:tcW w:w="1933" w:type="dxa"/>
                  <w:tcBorders>
                    <w:top w:val="nil"/>
                    <w:left w:val="single" w:sz="4" w:space="0" w:color="auto"/>
                    <w:bottom w:val="nil"/>
                    <w:right w:val="nil"/>
                  </w:tcBorders>
                  <w:vAlign w:val="center"/>
                </w:tcPr>
                <w:p w14:paraId="153B83A7"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100.1</w:t>
                  </w:r>
                  <w:r w:rsidR="00C96801" w:rsidRPr="00B163CC">
                    <w:rPr>
                      <w:rFonts w:ascii="Times New Roman" w:eastAsia="標楷體" w:hAnsi="Times New Roman" w:cs="Times New Roman"/>
                    </w:rPr>
                    <w:t>415</w:t>
                  </w:r>
                </w:p>
              </w:tc>
              <w:tc>
                <w:tcPr>
                  <w:tcW w:w="619" w:type="dxa"/>
                  <w:tcBorders>
                    <w:top w:val="nil"/>
                    <w:left w:val="nil"/>
                    <w:bottom w:val="nil"/>
                    <w:right w:val="single" w:sz="4" w:space="0" w:color="auto"/>
                  </w:tcBorders>
                </w:tcPr>
                <w:p w14:paraId="27365DE2"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w:t>
                  </w:r>
                  <w:r w:rsidR="008123C9" w:rsidRPr="00B163CC">
                    <w:rPr>
                      <w:rFonts w:ascii="Times New Roman" w:eastAsia="標楷體" w:hAnsi="Times New Roman" w:cs="Times New Roman"/>
                    </w:rPr>
                    <w:t>p</w:t>
                  </w:r>
                  <w:r w:rsidRPr="00B163CC">
                    <w:rPr>
                      <w:rFonts w:ascii="Times New Roman" w:eastAsia="標楷體" w:hAnsi="Times New Roman" w:cs="Times New Roman"/>
                    </w:rPr>
                    <w:t>）</w:t>
                  </w:r>
                </w:p>
              </w:tc>
              <w:tc>
                <w:tcPr>
                  <w:tcW w:w="3124" w:type="dxa"/>
                  <w:tcBorders>
                    <w:top w:val="nil"/>
                    <w:left w:val="single" w:sz="4" w:space="0" w:color="auto"/>
                    <w:bottom w:val="nil"/>
                    <w:right w:val="single" w:sz="4" w:space="0" w:color="auto"/>
                  </w:tcBorders>
                  <w:tcMar>
                    <w:top w:w="0" w:type="dxa"/>
                    <w:left w:w="85" w:type="dxa"/>
                    <w:bottom w:w="0" w:type="dxa"/>
                    <w:right w:w="85" w:type="dxa"/>
                  </w:tcMar>
                  <w:vAlign w:val="center"/>
                </w:tcPr>
                <w:p w14:paraId="6BBC7420" w14:textId="77777777" w:rsidR="00762445" w:rsidRPr="00B163CC" w:rsidRDefault="00762445" w:rsidP="00294C15">
                  <w:pPr>
                    <w:framePr w:hSpace="180" w:wrap="around" w:vAnchor="text" w:hAnchor="margin" w:xAlign="center" w:y="-35"/>
                    <w:jc w:val="both"/>
                    <w:rPr>
                      <w:rFonts w:ascii="Times New Roman" w:eastAsia="標楷體" w:hAnsi="Times New Roman" w:cs="Times New Roman"/>
                    </w:rPr>
                  </w:pPr>
                </w:p>
              </w:tc>
            </w:tr>
            <w:tr w:rsidR="008123C9" w:rsidRPr="00B163CC" w14:paraId="32F8ECBD" w14:textId="77777777" w:rsidTr="00AB667D">
              <w:trPr>
                <w:jc w:val="center"/>
              </w:trPr>
              <w:tc>
                <w:tcPr>
                  <w:tcW w:w="1559" w:type="dxa"/>
                  <w:gridSpan w:val="4"/>
                  <w:tcBorders>
                    <w:top w:val="nil"/>
                    <w:left w:val="single" w:sz="4" w:space="0" w:color="auto"/>
                    <w:bottom w:val="single" w:sz="4" w:space="0" w:color="auto"/>
                    <w:right w:val="single" w:sz="4" w:space="0" w:color="auto"/>
                  </w:tcBorders>
                </w:tcPr>
                <w:p w14:paraId="57CDFBDE" w14:textId="77777777" w:rsidR="008123C9" w:rsidRPr="00B163CC" w:rsidRDefault="008123C9"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2018-</w:t>
                  </w:r>
                  <w:r w:rsidR="00C96801" w:rsidRPr="00B163CC">
                    <w:rPr>
                      <w:rFonts w:ascii="Times New Roman" w:eastAsia="標楷體" w:hAnsi="Times New Roman" w:cs="Times New Roman"/>
                    </w:rPr>
                    <w:t>10</w:t>
                  </w:r>
                </w:p>
              </w:tc>
              <w:tc>
                <w:tcPr>
                  <w:tcW w:w="1933" w:type="dxa"/>
                  <w:tcBorders>
                    <w:top w:val="nil"/>
                    <w:left w:val="single" w:sz="4" w:space="0" w:color="auto"/>
                    <w:bottom w:val="single" w:sz="4" w:space="0" w:color="auto"/>
                    <w:right w:val="nil"/>
                  </w:tcBorders>
                  <w:vAlign w:val="center"/>
                  <w:hideMark/>
                </w:tcPr>
                <w:p w14:paraId="14445582" w14:textId="77777777" w:rsidR="008123C9" w:rsidRPr="00B163CC" w:rsidRDefault="008123C9"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100.</w:t>
                  </w:r>
                  <w:r w:rsidR="00337BF1" w:rsidRPr="00B163CC">
                    <w:rPr>
                      <w:rFonts w:ascii="Times New Roman" w:eastAsia="標楷體" w:hAnsi="Times New Roman" w:cs="Times New Roman"/>
                    </w:rPr>
                    <w:t>22</w:t>
                  </w:r>
                  <w:r w:rsidR="00C96801" w:rsidRPr="00B163CC">
                    <w:rPr>
                      <w:rFonts w:ascii="Times New Roman" w:eastAsia="標楷體" w:hAnsi="Times New Roman" w:cs="Times New Roman"/>
                    </w:rPr>
                    <w:t>63</w:t>
                  </w:r>
                </w:p>
              </w:tc>
              <w:tc>
                <w:tcPr>
                  <w:tcW w:w="619" w:type="dxa"/>
                  <w:tcBorders>
                    <w:top w:val="nil"/>
                    <w:left w:val="nil"/>
                    <w:bottom w:val="single" w:sz="4" w:space="0" w:color="auto"/>
                    <w:right w:val="single" w:sz="4" w:space="0" w:color="auto"/>
                  </w:tcBorders>
                  <w:hideMark/>
                </w:tcPr>
                <w:p w14:paraId="1C91183F" w14:textId="77777777" w:rsidR="008123C9" w:rsidRPr="00B163CC" w:rsidRDefault="008123C9"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w:t>
                  </w:r>
                  <w:r w:rsidR="00337BF1" w:rsidRPr="00B163CC">
                    <w:rPr>
                      <w:rFonts w:ascii="Times New Roman" w:eastAsia="標楷體" w:hAnsi="Times New Roman" w:cs="Times New Roman"/>
                      <w:lang w:eastAsia="zh-TW"/>
                    </w:rPr>
                    <w:t>p</w:t>
                  </w:r>
                  <w:r w:rsidRPr="00B163CC">
                    <w:rPr>
                      <w:rFonts w:ascii="Times New Roman" w:eastAsia="標楷體" w:hAnsi="Times New Roman" w:cs="Times New Roman"/>
                    </w:rPr>
                    <w:t>）</w:t>
                  </w:r>
                </w:p>
              </w:tc>
              <w:tc>
                <w:tcPr>
                  <w:tcW w:w="3124" w:type="dxa"/>
                  <w:tcBorders>
                    <w:top w:val="nil"/>
                    <w:left w:val="single" w:sz="4" w:space="0" w:color="auto"/>
                    <w:bottom w:val="single" w:sz="4" w:space="0" w:color="auto"/>
                    <w:right w:val="single" w:sz="4" w:space="0" w:color="auto"/>
                  </w:tcBorders>
                  <w:tcMar>
                    <w:left w:w="85" w:type="dxa"/>
                    <w:right w:w="85" w:type="dxa"/>
                  </w:tcMar>
                </w:tcPr>
                <w:p w14:paraId="055BEF53" w14:textId="77777777" w:rsidR="00E55D9A" w:rsidRPr="00B163CC" w:rsidRDefault="00E55D9A" w:rsidP="00294C15">
                  <w:pPr>
                    <w:framePr w:hSpace="180" w:wrap="around" w:vAnchor="text" w:hAnchor="margin" w:xAlign="center" w:y="-35"/>
                    <w:jc w:val="both"/>
                    <w:rPr>
                      <w:rFonts w:ascii="Times New Roman" w:eastAsia="標楷體" w:hAnsi="Times New Roman" w:cs="Times New Roman"/>
                      <w:lang w:val="en-GB"/>
                    </w:rPr>
                  </w:pPr>
                </w:p>
              </w:tc>
            </w:tr>
            <w:tr w:rsidR="0080693A" w:rsidRPr="00B163CC" w14:paraId="10AA047C" w14:textId="77777777" w:rsidTr="00AB667D">
              <w:trPr>
                <w:jc w:val="center"/>
              </w:trPr>
              <w:tc>
                <w:tcPr>
                  <w:tcW w:w="1559" w:type="dxa"/>
                  <w:gridSpan w:val="4"/>
                  <w:tcBorders>
                    <w:top w:val="single" w:sz="4" w:space="0" w:color="auto"/>
                    <w:left w:val="single" w:sz="4" w:space="0" w:color="auto"/>
                    <w:bottom w:val="nil"/>
                    <w:right w:val="single" w:sz="4" w:space="0" w:color="auto"/>
                  </w:tcBorders>
                </w:tcPr>
                <w:p w14:paraId="129EE13C" w14:textId="77777777" w:rsidR="0080693A" w:rsidRPr="00B163CC" w:rsidRDefault="0080693A"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2018-9</w:t>
                  </w:r>
                </w:p>
              </w:tc>
              <w:tc>
                <w:tcPr>
                  <w:tcW w:w="1933" w:type="dxa"/>
                  <w:tcBorders>
                    <w:top w:val="single" w:sz="4" w:space="0" w:color="auto"/>
                    <w:left w:val="single" w:sz="4" w:space="0" w:color="auto"/>
                    <w:bottom w:val="nil"/>
                    <w:right w:val="nil"/>
                  </w:tcBorders>
                  <w:vAlign w:val="center"/>
                  <w:hideMark/>
                </w:tcPr>
                <w:p w14:paraId="743374B7" w14:textId="77777777" w:rsidR="0080693A" w:rsidRPr="00B163CC" w:rsidRDefault="0080693A"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100.2996</w:t>
                  </w:r>
                </w:p>
              </w:tc>
              <w:tc>
                <w:tcPr>
                  <w:tcW w:w="619" w:type="dxa"/>
                  <w:tcBorders>
                    <w:top w:val="single" w:sz="4" w:space="0" w:color="auto"/>
                    <w:left w:val="nil"/>
                    <w:bottom w:val="nil"/>
                    <w:right w:val="single" w:sz="4" w:space="0" w:color="auto"/>
                  </w:tcBorders>
                  <w:hideMark/>
                </w:tcPr>
                <w:p w14:paraId="751179FA" w14:textId="77777777" w:rsidR="0080693A" w:rsidRPr="00B163CC" w:rsidRDefault="0080693A"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w:t>
                  </w:r>
                  <w:r w:rsidRPr="00B163CC">
                    <w:rPr>
                      <w:rFonts w:ascii="Times New Roman" w:eastAsia="標楷體" w:hAnsi="Times New Roman" w:cs="Times New Roman"/>
                    </w:rPr>
                    <w:t>p</w:t>
                  </w:r>
                  <w:r w:rsidRPr="00B163CC">
                    <w:rPr>
                      <w:rFonts w:ascii="Times New Roman" w:eastAsia="標楷體" w:hAnsi="Times New Roman" w:cs="Times New Roman"/>
                    </w:rPr>
                    <w:t>）</w:t>
                  </w:r>
                </w:p>
              </w:tc>
              <w:tc>
                <w:tcPr>
                  <w:tcW w:w="3124" w:type="dxa"/>
                  <w:vMerge w:val="restart"/>
                  <w:tcBorders>
                    <w:left w:val="single" w:sz="4" w:space="0" w:color="auto"/>
                    <w:bottom w:val="nil"/>
                    <w:right w:val="single" w:sz="4" w:space="0" w:color="auto"/>
                  </w:tcBorders>
                  <w:hideMark/>
                </w:tcPr>
                <w:p w14:paraId="3A81626F" w14:textId="77777777" w:rsidR="0080693A" w:rsidRPr="00B163CC" w:rsidRDefault="0080693A" w:rsidP="00294C15">
                  <w:pPr>
                    <w:framePr w:hSpace="180" w:wrap="around" w:vAnchor="text" w:hAnchor="margin" w:xAlign="center" w:y="-35"/>
                    <w:jc w:val="both"/>
                    <w:rPr>
                      <w:rFonts w:ascii="Times New Roman" w:eastAsia="標楷體" w:hAnsi="Times New Roman" w:cs="Times New Roman"/>
                      <w:lang w:val="en-GB" w:eastAsia="zh-TW"/>
                    </w:rPr>
                  </w:pPr>
                  <w:r w:rsidRPr="00B163CC">
                    <w:rPr>
                      <w:rFonts w:ascii="Times New Roman" w:eastAsia="標楷體" w:hAnsi="Times New Roman" w:cs="Times New Roman"/>
                    </w:rPr>
                    <w:t>以領先指標綜合指數所預測的同行指標綜合指數</w:t>
                  </w:r>
                </w:p>
              </w:tc>
            </w:tr>
            <w:tr w:rsidR="0080693A" w:rsidRPr="00B163CC" w14:paraId="2F5FA3F8" w14:textId="77777777" w:rsidTr="00AB667D">
              <w:trPr>
                <w:jc w:val="center"/>
              </w:trPr>
              <w:tc>
                <w:tcPr>
                  <w:tcW w:w="1559" w:type="dxa"/>
                  <w:gridSpan w:val="4"/>
                  <w:tcBorders>
                    <w:top w:val="nil"/>
                    <w:left w:val="single" w:sz="4" w:space="0" w:color="auto"/>
                    <w:bottom w:val="nil"/>
                    <w:right w:val="single" w:sz="4" w:space="0" w:color="auto"/>
                  </w:tcBorders>
                </w:tcPr>
                <w:p w14:paraId="657AB973" w14:textId="77777777" w:rsidR="0080693A" w:rsidRPr="00B163CC" w:rsidRDefault="0080693A"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2018-8</w:t>
                  </w:r>
                </w:p>
              </w:tc>
              <w:tc>
                <w:tcPr>
                  <w:tcW w:w="1933" w:type="dxa"/>
                  <w:tcBorders>
                    <w:top w:val="nil"/>
                    <w:left w:val="single" w:sz="4" w:space="0" w:color="auto"/>
                    <w:bottom w:val="nil"/>
                    <w:right w:val="nil"/>
                  </w:tcBorders>
                  <w:vAlign w:val="center"/>
                  <w:hideMark/>
                </w:tcPr>
                <w:p w14:paraId="302957A8" w14:textId="77777777" w:rsidR="0080693A" w:rsidRPr="00B163CC" w:rsidRDefault="0080693A"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100.2736</w:t>
                  </w:r>
                </w:p>
              </w:tc>
              <w:tc>
                <w:tcPr>
                  <w:tcW w:w="619" w:type="dxa"/>
                  <w:tcBorders>
                    <w:top w:val="nil"/>
                    <w:left w:val="nil"/>
                    <w:bottom w:val="nil"/>
                    <w:right w:val="single" w:sz="4" w:space="0" w:color="auto"/>
                  </w:tcBorders>
                  <w:hideMark/>
                </w:tcPr>
                <w:p w14:paraId="3D148A91" w14:textId="77777777" w:rsidR="0080693A" w:rsidRPr="00B163CC" w:rsidRDefault="0080693A"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w:t>
                  </w:r>
                  <w:r w:rsidRPr="00B163CC">
                    <w:rPr>
                      <w:rFonts w:ascii="Times New Roman" w:eastAsia="標楷體" w:hAnsi="Times New Roman" w:cs="Times New Roman"/>
                    </w:rPr>
                    <w:t>p</w:t>
                  </w:r>
                  <w:r w:rsidRPr="00B163CC">
                    <w:rPr>
                      <w:rFonts w:ascii="Times New Roman" w:eastAsia="標楷體" w:hAnsi="Times New Roman" w:cs="Times New Roman"/>
                    </w:rPr>
                    <w:t>）</w:t>
                  </w:r>
                </w:p>
              </w:tc>
              <w:tc>
                <w:tcPr>
                  <w:tcW w:w="3124" w:type="dxa"/>
                  <w:vMerge/>
                  <w:tcBorders>
                    <w:left w:val="single" w:sz="4" w:space="0" w:color="auto"/>
                    <w:bottom w:val="nil"/>
                    <w:right w:val="single" w:sz="4" w:space="0" w:color="auto"/>
                  </w:tcBorders>
                  <w:vAlign w:val="center"/>
                  <w:hideMark/>
                </w:tcPr>
                <w:p w14:paraId="5814C1E7" w14:textId="77777777" w:rsidR="0080693A" w:rsidRPr="00B163CC" w:rsidRDefault="0080693A" w:rsidP="00294C15">
                  <w:pPr>
                    <w:framePr w:hSpace="180" w:wrap="around" w:vAnchor="text" w:hAnchor="margin" w:xAlign="center" w:y="-35"/>
                    <w:rPr>
                      <w:rFonts w:ascii="Times New Roman" w:eastAsia="標楷體" w:hAnsi="Times New Roman" w:cs="Times New Roman"/>
                      <w:lang w:val="en-GB"/>
                    </w:rPr>
                  </w:pPr>
                </w:p>
              </w:tc>
            </w:tr>
            <w:tr w:rsidR="0080693A" w:rsidRPr="00B163CC" w14:paraId="347CAAE9" w14:textId="77777777" w:rsidTr="00AB667D">
              <w:trPr>
                <w:jc w:val="center"/>
              </w:trPr>
              <w:tc>
                <w:tcPr>
                  <w:tcW w:w="1559" w:type="dxa"/>
                  <w:gridSpan w:val="4"/>
                  <w:tcBorders>
                    <w:top w:val="nil"/>
                    <w:left w:val="single" w:sz="4" w:space="0" w:color="auto"/>
                    <w:bottom w:val="nil"/>
                    <w:right w:val="single" w:sz="4" w:space="0" w:color="auto"/>
                  </w:tcBorders>
                </w:tcPr>
                <w:p w14:paraId="03222DE6" w14:textId="77777777" w:rsidR="0080693A" w:rsidRPr="00B163CC" w:rsidRDefault="0080693A"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2018-7</w:t>
                  </w:r>
                </w:p>
              </w:tc>
              <w:tc>
                <w:tcPr>
                  <w:tcW w:w="1933" w:type="dxa"/>
                  <w:tcBorders>
                    <w:top w:val="nil"/>
                    <w:left w:val="single" w:sz="4" w:space="0" w:color="auto"/>
                    <w:bottom w:val="nil"/>
                    <w:right w:val="nil"/>
                  </w:tcBorders>
                  <w:vAlign w:val="center"/>
                  <w:hideMark/>
                </w:tcPr>
                <w:p w14:paraId="51478AFF" w14:textId="77777777" w:rsidR="0080693A" w:rsidRPr="00B163CC" w:rsidRDefault="0080693A"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100.2353</w:t>
                  </w:r>
                </w:p>
              </w:tc>
              <w:tc>
                <w:tcPr>
                  <w:tcW w:w="619" w:type="dxa"/>
                  <w:tcBorders>
                    <w:top w:val="nil"/>
                    <w:left w:val="nil"/>
                    <w:bottom w:val="nil"/>
                    <w:right w:val="single" w:sz="4" w:space="0" w:color="auto"/>
                  </w:tcBorders>
                  <w:hideMark/>
                </w:tcPr>
                <w:p w14:paraId="40AC4C8E" w14:textId="77777777" w:rsidR="0080693A" w:rsidRPr="00B163CC" w:rsidRDefault="0080693A"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w:t>
                  </w:r>
                  <w:r w:rsidRPr="00B163CC">
                    <w:rPr>
                      <w:rFonts w:ascii="Times New Roman" w:eastAsia="標楷體" w:hAnsi="Times New Roman" w:cs="Times New Roman"/>
                    </w:rPr>
                    <w:t>p</w:t>
                  </w:r>
                  <w:r w:rsidRPr="00B163CC">
                    <w:rPr>
                      <w:rFonts w:ascii="Times New Roman" w:eastAsia="標楷體" w:hAnsi="Times New Roman" w:cs="Times New Roman"/>
                    </w:rPr>
                    <w:t>）</w:t>
                  </w:r>
                </w:p>
              </w:tc>
              <w:tc>
                <w:tcPr>
                  <w:tcW w:w="3124" w:type="dxa"/>
                  <w:vMerge/>
                  <w:tcBorders>
                    <w:left w:val="single" w:sz="4" w:space="0" w:color="auto"/>
                    <w:bottom w:val="nil"/>
                    <w:right w:val="single" w:sz="4" w:space="0" w:color="auto"/>
                  </w:tcBorders>
                  <w:vAlign w:val="center"/>
                  <w:hideMark/>
                </w:tcPr>
                <w:p w14:paraId="2D01ADFE" w14:textId="77777777" w:rsidR="0080693A" w:rsidRPr="00B163CC" w:rsidRDefault="0080693A" w:rsidP="00294C15">
                  <w:pPr>
                    <w:framePr w:hSpace="180" w:wrap="around" w:vAnchor="text" w:hAnchor="margin" w:xAlign="center" w:y="-35"/>
                    <w:rPr>
                      <w:rFonts w:ascii="Times New Roman" w:eastAsia="標楷體" w:hAnsi="Times New Roman" w:cs="Times New Roman"/>
                      <w:lang w:val="en-GB"/>
                    </w:rPr>
                  </w:pPr>
                </w:p>
              </w:tc>
            </w:tr>
            <w:tr w:rsidR="0080693A" w:rsidRPr="00B163CC" w14:paraId="35D57813" w14:textId="77777777" w:rsidTr="00AB667D">
              <w:trPr>
                <w:jc w:val="center"/>
              </w:trPr>
              <w:tc>
                <w:tcPr>
                  <w:tcW w:w="1559" w:type="dxa"/>
                  <w:gridSpan w:val="4"/>
                  <w:tcBorders>
                    <w:top w:val="nil"/>
                    <w:left w:val="single" w:sz="4" w:space="0" w:color="auto"/>
                    <w:bottom w:val="nil"/>
                    <w:right w:val="single" w:sz="4" w:space="0" w:color="auto"/>
                  </w:tcBorders>
                </w:tcPr>
                <w:p w14:paraId="2DB58AFB" w14:textId="77777777" w:rsidR="0080693A" w:rsidRPr="00B163CC" w:rsidRDefault="0080693A"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2018-6</w:t>
                  </w:r>
                </w:p>
              </w:tc>
              <w:tc>
                <w:tcPr>
                  <w:tcW w:w="1933" w:type="dxa"/>
                  <w:tcBorders>
                    <w:top w:val="nil"/>
                    <w:left w:val="single" w:sz="4" w:space="0" w:color="auto"/>
                    <w:bottom w:val="nil"/>
                    <w:right w:val="nil"/>
                  </w:tcBorders>
                  <w:vAlign w:val="center"/>
                  <w:hideMark/>
                </w:tcPr>
                <w:p w14:paraId="28A18CF6" w14:textId="77777777" w:rsidR="0080693A" w:rsidRPr="00B163CC" w:rsidRDefault="0080693A"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100.1929</w:t>
                  </w:r>
                </w:p>
              </w:tc>
              <w:tc>
                <w:tcPr>
                  <w:tcW w:w="619" w:type="dxa"/>
                  <w:tcBorders>
                    <w:top w:val="nil"/>
                    <w:left w:val="nil"/>
                    <w:bottom w:val="nil"/>
                    <w:right w:val="single" w:sz="4" w:space="0" w:color="auto"/>
                  </w:tcBorders>
                  <w:hideMark/>
                </w:tcPr>
                <w:p w14:paraId="58A981AC" w14:textId="77777777" w:rsidR="0080693A" w:rsidRPr="00B163CC" w:rsidRDefault="0080693A"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w:t>
                  </w:r>
                  <w:r w:rsidRPr="00B163CC">
                    <w:rPr>
                      <w:rFonts w:ascii="Times New Roman" w:eastAsia="標楷體" w:hAnsi="Times New Roman" w:cs="Times New Roman"/>
                    </w:rPr>
                    <w:t>f</w:t>
                  </w:r>
                  <w:r w:rsidRPr="00B163CC">
                    <w:rPr>
                      <w:rFonts w:ascii="Times New Roman" w:eastAsia="標楷體" w:hAnsi="Times New Roman" w:cs="Times New Roman"/>
                    </w:rPr>
                    <w:t>）</w:t>
                  </w:r>
                </w:p>
              </w:tc>
              <w:tc>
                <w:tcPr>
                  <w:tcW w:w="3124" w:type="dxa"/>
                  <w:tcBorders>
                    <w:top w:val="nil"/>
                    <w:left w:val="single" w:sz="4" w:space="0" w:color="auto"/>
                    <w:bottom w:val="nil"/>
                    <w:right w:val="single" w:sz="4" w:space="0" w:color="auto"/>
                  </w:tcBorders>
                  <w:vAlign w:val="center"/>
                  <w:hideMark/>
                </w:tcPr>
                <w:p w14:paraId="79E0882F" w14:textId="77777777" w:rsidR="0080693A" w:rsidRPr="00B163CC" w:rsidRDefault="0080693A" w:rsidP="00294C15">
                  <w:pPr>
                    <w:framePr w:hSpace="180" w:wrap="around" w:vAnchor="text" w:hAnchor="margin" w:xAlign="center" w:y="-35"/>
                    <w:rPr>
                      <w:rFonts w:ascii="Times New Roman" w:eastAsia="標楷體" w:hAnsi="Times New Roman" w:cs="Times New Roman"/>
                      <w:lang w:val="en-GB"/>
                    </w:rPr>
                  </w:pPr>
                </w:p>
              </w:tc>
            </w:tr>
            <w:tr w:rsidR="00762445" w:rsidRPr="00B163CC" w14:paraId="7613631D" w14:textId="77777777" w:rsidTr="00AB667D">
              <w:trPr>
                <w:jc w:val="center"/>
              </w:trPr>
              <w:tc>
                <w:tcPr>
                  <w:tcW w:w="1559" w:type="dxa"/>
                  <w:gridSpan w:val="4"/>
                  <w:tcBorders>
                    <w:top w:val="nil"/>
                    <w:left w:val="single" w:sz="4" w:space="0" w:color="auto"/>
                    <w:bottom w:val="nil"/>
                    <w:right w:val="single" w:sz="4" w:space="0" w:color="auto"/>
                  </w:tcBorders>
                </w:tcPr>
                <w:p w14:paraId="596C3443"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2018-</w:t>
                  </w:r>
                  <w:r w:rsidR="00C96801" w:rsidRPr="00B163CC">
                    <w:rPr>
                      <w:rFonts w:ascii="Times New Roman" w:eastAsia="標楷體" w:hAnsi="Times New Roman" w:cs="Times New Roman"/>
                    </w:rPr>
                    <w:t>5</w:t>
                  </w:r>
                </w:p>
              </w:tc>
              <w:tc>
                <w:tcPr>
                  <w:tcW w:w="1933" w:type="dxa"/>
                  <w:tcBorders>
                    <w:top w:val="nil"/>
                    <w:left w:val="single" w:sz="4" w:space="0" w:color="auto"/>
                    <w:bottom w:val="nil"/>
                    <w:right w:val="nil"/>
                  </w:tcBorders>
                  <w:vAlign w:val="center"/>
                  <w:hideMark/>
                </w:tcPr>
                <w:p w14:paraId="271DD37F"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99.</w:t>
                  </w:r>
                  <w:r w:rsidR="00C96801" w:rsidRPr="00B163CC">
                    <w:rPr>
                      <w:rFonts w:ascii="Times New Roman" w:eastAsia="標楷體" w:hAnsi="Times New Roman" w:cs="Times New Roman"/>
                    </w:rPr>
                    <w:t>9622</w:t>
                  </w:r>
                </w:p>
              </w:tc>
              <w:tc>
                <w:tcPr>
                  <w:tcW w:w="619" w:type="dxa"/>
                  <w:tcBorders>
                    <w:top w:val="nil"/>
                    <w:left w:val="nil"/>
                    <w:bottom w:val="nil"/>
                    <w:right w:val="single" w:sz="4" w:space="0" w:color="auto"/>
                  </w:tcBorders>
                  <w:hideMark/>
                </w:tcPr>
                <w:p w14:paraId="3E476ADB"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w:t>
                  </w:r>
                  <w:r w:rsidR="008123C9" w:rsidRPr="00B163CC">
                    <w:rPr>
                      <w:rFonts w:ascii="Times New Roman" w:eastAsia="標楷體" w:hAnsi="Times New Roman" w:cs="Times New Roman"/>
                      <w:lang w:eastAsia="zh-TW"/>
                    </w:rPr>
                    <w:t>f</w:t>
                  </w:r>
                  <w:r w:rsidRPr="00B163CC">
                    <w:rPr>
                      <w:rFonts w:ascii="Times New Roman" w:eastAsia="標楷體" w:hAnsi="Times New Roman" w:cs="Times New Roman"/>
                    </w:rPr>
                    <w:t>）</w:t>
                  </w:r>
                </w:p>
              </w:tc>
              <w:tc>
                <w:tcPr>
                  <w:tcW w:w="3124" w:type="dxa"/>
                  <w:tcBorders>
                    <w:top w:val="nil"/>
                    <w:left w:val="single" w:sz="4" w:space="0" w:color="auto"/>
                    <w:bottom w:val="nil"/>
                    <w:right w:val="single" w:sz="4" w:space="0" w:color="auto"/>
                  </w:tcBorders>
                  <w:tcMar>
                    <w:top w:w="0" w:type="dxa"/>
                    <w:left w:w="85" w:type="dxa"/>
                    <w:bottom w:w="0" w:type="dxa"/>
                    <w:right w:w="85" w:type="dxa"/>
                  </w:tcMar>
                  <w:hideMark/>
                </w:tcPr>
                <w:p w14:paraId="54DB247B" w14:textId="77777777" w:rsidR="00762445" w:rsidRPr="00B163CC" w:rsidRDefault="00762445" w:rsidP="00294C15">
                  <w:pPr>
                    <w:framePr w:hSpace="180" w:wrap="around" w:vAnchor="text" w:hAnchor="margin" w:xAlign="center" w:y="-35"/>
                    <w:rPr>
                      <w:rFonts w:ascii="Times New Roman" w:eastAsia="標楷體" w:hAnsi="Times New Roman" w:cs="Times New Roman"/>
                    </w:rPr>
                  </w:pPr>
                </w:p>
              </w:tc>
            </w:tr>
            <w:tr w:rsidR="00762445" w:rsidRPr="00B163CC" w14:paraId="380EA54F" w14:textId="77777777" w:rsidTr="00AB667D">
              <w:trPr>
                <w:jc w:val="center"/>
              </w:trPr>
              <w:tc>
                <w:tcPr>
                  <w:tcW w:w="1559" w:type="dxa"/>
                  <w:gridSpan w:val="4"/>
                  <w:tcBorders>
                    <w:top w:val="nil"/>
                    <w:left w:val="single" w:sz="4" w:space="0" w:color="auto"/>
                    <w:bottom w:val="single" w:sz="4" w:space="0" w:color="auto"/>
                    <w:right w:val="single" w:sz="4" w:space="0" w:color="auto"/>
                  </w:tcBorders>
                </w:tcPr>
                <w:p w14:paraId="60CE46F8"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2018-</w:t>
                  </w:r>
                  <w:r w:rsidR="00C96801" w:rsidRPr="00B163CC">
                    <w:rPr>
                      <w:rFonts w:ascii="Times New Roman" w:eastAsia="標楷體" w:hAnsi="Times New Roman" w:cs="Times New Roman"/>
                      <w:lang w:eastAsia="zh-TW"/>
                    </w:rPr>
                    <w:t>4</w:t>
                  </w:r>
                </w:p>
              </w:tc>
              <w:tc>
                <w:tcPr>
                  <w:tcW w:w="1933" w:type="dxa"/>
                  <w:tcBorders>
                    <w:top w:val="nil"/>
                    <w:left w:val="single" w:sz="4" w:space="0" w:color="auto"/>
                    <w:bottom w:val="single" w:sz="4" w:space="0" w:color="auto"/>
                    <w:right w:val="nil"/>
                  </w:tcBorders>
                  <w:vAlign w:val="center"/>
                  <w:hideMark/>
                </w:tcPr>
                <w:p w14:paraId="6485869C"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99.</w:t>
                  </w:r>
                  <w:r w:rsidR="00C96801" w:rsidRPr="00B163CC">
                    <w:rPr>
                      <w:rFonts w:ascii="Times New Roman" w:eastAsia="標楷體" w:hAnsi="Times New Roman" w:cs="Times New Roman"/>
                    </w:rPr>
                    <w:t>8565</w:t>
                  </w:r>
                </w:p>
              </w:tc>
              <w:tc>
                <w:tcPr>
                  <w:tcW w:w="619" w:type="dxa"/>
                  <w:tcBorders>
                    <w:top w:val="nil"/>
                    <w:left w:val="nil"/>
                    <w:bottom w:val="single" w:sz="4" w:space="0" w:color="auto"/>
                    <w:right w:val="single" w:sz="4" w:space="0" w:color="auto"/>
                  </w:tcBorders>
                  <w:hideMark/>
                </w:tcPr>
                <w:p w14:paraId="718A0BCD"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w:t>
                  </w:r>
                  <w:r w:rsidR="004C4AA1" w:rsidRPr="00B163CC">
                    <w:rPr>
                      <w:rFonts w:ascii="Times New Roman" w:eastAsia="標楷體" w:hAnsi="Times New Roman" w:cs="Times New Roman"/>
                      <w:lang w:eastAsia="zh-TW"/>
                    </w:rPr>
                    <w:t>f</w:t>
                  </w:r>
                  <w:r w:rsidRPr="00B163CC">
                    <w:rPr>
                      <w:rFonts w:ascii="Times New Roman" w:eastAsia="標楷體" w:hAnsi="Times New Roman" w:cs="Times New Roman"/>
                    </w:rPr>
                    <w:t>）</w:t>
                  </w:r>
                </w:p>
              </w:tc>
              <w:tc>
                <w:tcPr>
                  <w:tcW w:w="3124" w:type="dxa"/>
                  <w:tcBorders>
                    <w:top w:val="nil"/>
                    <w:left w:val="single" w:sz="4" w:space="0" w:color="auto"/>
                    <w:bottom w:val="single" w:sz="4" w:space="0" w:color="auto"/>
                    <w:right w:val="single" w:sz="4" w:space="0" w:color="auto"/>
                  </w:tcBorders>
                  <w:vAlign w:val="center"/>
                  <w:hideMark/>
                </w:tcPr>
                <w:p w14:paraId="57F39E59" w14:textId="77777777" w:rsidR="00762445" w:rsidRPr="00B163CC" w:rsidRDefault="00762445" w:rsidP="00294C15">
                  <w:pPr>
                    <w:framePr w:hSpace="180" w:wrap="around" w:vAnchor="text" w:hAnchor="margin" w:xAlign="center" w:y="-35"/>
                    <w:rPr>
                      <w:rFonts w:ascii="Times New Roman" w:eastAsia="標楷體" w:hAnsi="Times New Roman" w:cs="Times New Roman"/>
                      <w:lang w:val="en-GB"/>
                    </w:rPr>
                  </w:pPr>
                </w:p>
              </w:tc>
            </w:tr>
            <w:tr w:rsidR="00762445" w:rsidRPr="00B163CC" w14:paraId="57BE16D7" w14:textId="77777777" w:rsidTr="00AB667D">
              <w:trPr>
                <w:jc w:val="center"/>
              </w:trPr>
              <w:tc>
                <w:tcPr>
                  <w:tcW w:w="1559" w:type="dxa"/>
                  <w:gridSpan w:val="4"/>
                  <w:tcBorders>
                    <w:top w:val="single" w:sz="4" w:space="0" w:color="auto"/>
                    <w:left w:val="single" w:sz="4" w:space="0" w:color="auto"/>
                    <w:bottom w:val="single" w:sz="4" w:space="0" w:color="auto"/>
                    <w:right w:val="single" w:sz="4" w:space="0" w:color="auto"/>
                  </w:tcBorders>
                </w:tcPr>
                <w:p w14:paraId="24E88D89"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2018-</w:t>
                  </w:r>
                  <w:r w:rsidR="00C96801" w:rsidRPr="00B163CC">
                    <w:rPr>
                      <w:rFonts w:ascii="Times New Roman" w:eastAsia="標楷體" w:hAnsi="Times New Roman" w:cs="Times New Roman"/>
                      <w:lang w:eastAsia="zh-TW"/>
                    </w:rPr>
                    <w:t>3</w:t>
                  </w:r>
                </w:p>
              </w:tc>
              <w:tc>
                <w:tcPr>
                  <w:tcW w:w="1933" w:type="dxa"/>
                  <w:tcBorders>
                    <w:top w:val="single" w:sz="4" w:space="0" w:color="auto"/>
                    <w:left w:val="single" w:sz="4" w:space="0" w:color="auto"/>
                    <w:bottom w:val="single" w:sz="4" w:space="0" w:color="auto"/>
                    <w:right w:val="nil"/>
                  </w:tcBorders>
                  <w:vAlign w:val="center"/>
                  <w:hideMark/>
                </w:tcPr>
                <w:p w14:paraId="088A7F57"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99.</w:t>
                  </w:r>
                  <w:r w:rsidR="00C96801" w:rsidRPr="00B163CC">
                    <w:rPr>
                      <w:rFonts w:ascii="Times New Roman" w:eastAsia="標楷體" w:hAnsi="Times New Roman" w:cs="Times New Roman"/>
                    </w:rPr>
                    <w:t>7426</w:t>
                  </w:r>
                </w:p>
              </w:tc>
              <w:tc>
                <w:tcPr>
                  <w:tcW w:w="619" w:type="dxa"/>
                  <w:tcBorders>
                    <w:top w:val="single" w:sz="4" w:space="0" w:color="auto"/>
                    <w:left w:val="nil"/>
                    <w:bottom w:val="single" w:sz="4" w:space="0" w:color="auto"/>
                    <w:right w:val="single" w:sz="4" w:space="0" w:color="auto"/>
                  </w:tcBorders>
                  <w:hideMark/>
                </w:tcPr>
                <w:p w14:paraId="4443D36B"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w:t>
                  </w:r>
                  <w:r w:rsidRPr="00B163CC">
                    <w:rPr>
                      <w:rFonts w:ascii="Times New Roman" w:eastAsia="標楷體" w:hAnsi="Times New Roman" w:cs="Times New Roman"/>
                    </w:rPr>
                    <w:t>a</w:t>
                  </w:r>
                  <w:r w:rsidRPr="00B163CC">
                    <w:rPr>
                      <w:rFonts w:ascii="Times New Roman" w:eastAsia="標楷體" w:hAnsi="Times New Roman" w:cs="Times New Roman"/>
                    </w:rPr>
                    <w:t>）</w:t>
                  </w:r>
                </w:p>
              </w:tc>
              <w:tc>
                <w:tcPr>
                  <w:tcW w:w="3124" w:type="dxa"/>
                  <w:tcBorders>
                    <w:top w:val="single" w:sz="4" w:space="0" w:color="auto"/>
                    <w:left w:val="single" w:sz="4" w:space="0" w:color="auto"/>
                    <w:bottom w:val="single" w:sz="4" w:space="0" w:color="auto"/>
                    <w:right w:val="single" w:sz="4" w:space="0" w:color="auto"/>
                  </w:tcBorders>
                  <w:vAlign w:val="center"/>
                  <w:hideMark/>
                </w:tcPr>
                <w:p w14:paraId="79128D27" w14:textId="77777777" w:rsidR="00762445" w:rsidRPr="00B163CC" w:rsidRDefault="00AB667D" w:rsidP="00294C15">
                  <w:pPr>
                    <w:framePr w:hSpace="180" w:wrap="around" w:vAnchor="text" w:hAnchor="margin" w:xAlign="center" w:y="-35"/>
                    <w:rPr>
                      <w:rFonts w:ascii="Times New Roman" w:eastAsia="標楷體" w:hAnsi="Times New Roman" w:cs="Times New Roman"/>
                      <w:lang w:val="en-GB"/>
                    </w:rPr>
                  </w:pPr>
                  <w:r w:rsidRPr="00B163CC">
                    <w:rPr>
                      <w:rFonts w:ascii="Times New Roman" w:eastAsia="標楷體" w:hAnsi="Times New Roman" w:cs="Times New Roman"/>
                    </w:rPr>
                    <w:t>同行指標綜合指數實際值</w:t>
                  </w:r>
                </w:p>
              </w:tc>
            </w:tr>
            <w:tr w:rsidR="00762445" w:rsidRPr="00B163CC" w14:paraId="4FD8857B" w14:textId="77777777" w:rsidTr="00DD6F7E">
              <w:trPr>
                <w:jc w:val="center"/>
              </w:trPr>
              <w:tc>
                <w:tcPr>
                  <w:tcW w:w="7235" w:type="dxa"/>
                  <w:gridSpan w:val="7"/>
                  <w:tcBorders>
                    <w:top w:val="single" w:sz="4" w:space="0" w:color="auto"/>
                    <w:left w:val="nil"/>
                    <w:bottom w:val="nil"/>
                    <w:right w:val="nil"/>
                  </w:tcBorders>
                  <w:tcMar>
                    <w:top w:w="0" w:type="dxa"/>
                    <w:left w:w="85" w:type="dxa"/>
                    <w:bottom w:w="0" w:type="dxa"/>
                    <w:right w:w="85" w:type="dxa"/>
                  </w:tcMar>
                  <w:hideMark/>
                </w:tcPr>
                <w:p w14:paraId="327F11BE" w14:textId="77777777" w:rsidR="00762445" w:rsidRPr="00B163CC" w:rsidRDefault="00762445"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rPr>
                    <w:t>資料來源：商業發展研究院景氣循環預測小組</w:t>
                  </w:r>
                </w:p>
              </w:tc>
            </w:tr>
            <w:tr w:rsidR="00762445" w:rsidRPr="00B163CC" w14:paraId="01DC3A97" w14:textId="77777777" w:rsidTr="00DD6F7E">
              <w:trPr>
                <w:jc w:val="center"/>
              </w:trPr>
              <w:tc>
                <w:tcPr>
                  <w:tcW w:w="846" w:type="dxa"/>
                  <w:tcBorders>
                    <w:top w:val="nil"/>
                    <w:left w:val="nil"/>
                    <w:bottom w:val="nil"/>
                    <w:right w:val="nil"/>
                  </w:tcBorders>
                  <w:tcMar>
                    <w:top w:w="0" w:type="dxa"/>
                    <w:left w:w="85" w:type="dxa"/>
                    <w:bottom w:w="0" w:type="dxa"/>
                    <w:right w:w="0" w:type="dxa"/>
                  </w:tcMar>
                  <w:hideMark/>
                </w:tcPr>
                <w:p w14:paraId="4085A942" w14:textId="77777777" w:rsidR="00762445" w:rsidRPr="00B163CC" w:rsidRDefault="00762445"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rPr>
                    <w:t>說明：</w:t>
                  </w:r>
                </w:p>
              </w:tc>
              <w:tc>
                <w:tcPr>
                  <w:tcW w:w="283" w:type="dxa"/>
                  <w:tcBorders>
                    <w:top w:val="nil"/>
                    <w:left w:val="nil"/>
                    <w:bottom w:val="nil"/>
                    <w:right w:val="nil"/>
                  </w:tcBorders>
                  <w:hideMark/>
                </w:tcPr>
                <w:p w14:paraId="62BB2031" w14:textId="77777777" w:rsidR="00762445" w:rsidRPr="00B163CC" w:rsidRDefault="00762445"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rPr>
                    <w:t>1.</w:t>
                  </w:r>
                </w:p>
              </w:tc>
              <w:tc>
                <w:tcPr>
                  <w:tcW w:w="284" w:type="dxa"/>
                  <w:tcBorders>
                    <w:top w:val="nil"/>
                    <w:left w:val="nil"/>
                    <w:bottom w:val="nil"/>
                    <w:right w:val="nil"/>
                  </w:tcBorders>
                  <w:tcMar>
                    <w:top w:w="0" w:type="dxa"/>
                    <w:left w:w="57" w:type="dxa"/>
                    <w:bottom w:w="0" w:type="dxa"/>
                    <w:right w:w="0" w:type="dxa"/>
                  </w:tcMar>
                  <w:hideMark/>
                </w:tcPr>
                <w:p w14:paraId="3FCEE220"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a</w:t>
                  </w:r>
                </w:p>
              </w:tc>
              <w:tc>
                <w:tcPr>
                  <w:tcW w:w="5822" w:type="dxa"/>
                  <w:gridSpan w:val="4"/>
                  <w:tcBorders>
                    <w:top w:val="nil"/>
                    <w:left w:val="nil"/>
                    <w:bottom w:val="nil"/>
                    <w:right w:val="nil"/>
                  </w:tcBorders>
                  <w:hideMark/>
                </w:tcPr>
                <w:p w14:paraId="7EC5B5CB" w14:textId="77777777" w:rsidR="00762445" w:rsidRPr="00B163CC" w:rsidRDefault="00762445"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rPr>
                    <w:t>為實際值</w:t>
                  </w:r>
                  <w:r w:rsidRPr="00B163CC">
                    <w:rPr>
                      <w:rFonts w:ascii="Times New Roman" w:eastAsia="標楷體" w:hAnsi="Times New Roman" w:cs="Times New Roman"/>
                    </w:rPr>
                    <w:t>(actual)</w:t>
                  </w:r>
                </w:p>
              </w:tc>
            </w:tr>
            <w:tr w:rsidR="00762445" w:rsidRPr="00B163CC" w14:paraId="3369D4A3" w14:textId="77777777" w:rsidTr="00DD6F7E">
              <w:trPr>
                <w:jc w:val="center"/>
              </w:trPr>
              <w:tc>
                <w:tcPr>
                  <w:tcW w:w="846" w:type="dxa"/>
                  <w:tcBorders>
                    <w:top w:val="nil"/>
                    <w:left w:val="nil"/>
                    <w:bottom w:val="nil"/>
                    <w:right w:val="nil"/>
                  </w:tcBorders>
                  <w:tcMar>
                    <w:top w:w="0" w:type="dxa"/>
                    <w:left w:w="85" w:type="dxa"/>
                    <w:bottom w:w="0" w:type="dxa"/>
                    <w:right w:w="0" w:type="dxa"/>
                  </w:tcMar>
                </w:tcPr>
                <w:p w14:paraId="78C0607C" w14:textId="77777777" w:rsidR="00762445" w:rsidRPr="00B163CC" w:rsidRDefault="00762445" w:rsidP="00294C15">
                  <w:pPr>
                    <w:framePr w:hSpace="180" w:wrap="around" w:vAnchor="text" w:hAnchor="margin" w:xAlign="center" w:y="-35"/>
                    <w:rPr>
                      <w:rFonts w:ascii="Times New Roman" w:eastAsia="標楷體" w:hAnsi="Times New Roman" w:cs="Times New Roman"/>
                    </w:rPr>
                  </w:pPr>
                </w:p>
              </w:tc>
              <w:tc>
                <w:tcPr>
                  <w:tcW w:w="283" w:type="dxa"/>
                  <w:tcBorders>
                    <w:top w:val="nil"/>
                    <w:left w:val="nil"/>
                    <w:bottom w:val="nil"/>
                    <w:right w:val="nil"/>
                  </w:tcBorders>
                </w:tcPr>
                <w:p w14:paraId="074266A5" w14:textId="77777777" w:rsidR="00762445" w:rsidRPr="00B163CC" w:rsidRDefault="00762445" w:rsidP="00294C15">
                  <w:pPr>
                    <w:framePr w:hSpace="180" w:wrap="around" w:vAnchor="text" w:hAnchor="margin" w:xAlign="center" w:y="-35"/>
                    <w:rPr>
                      <w:rFonts w:ascii="Times New Roman" w:eastAsia="標楷體" w:hAnsi="Times New Roman" w:cs="Times New Roman"/>
                    </w:rPr>
                  </w:pPr>
                </w:p>
              </w:tc>
              <w:tc>
                <w:tcPr>
                  <w:tcW w:w="284" w:type="dxa"/>
                  <w:tcBorders>
                    <w:top w:val="nil"/>
                    <w:left w:val="nil"/>
                    <w:bottom w:val="nil"/>
                    <w:right w:val="nil"/>
                  </w:tcBorders>
                  <w:tcMar>
                    <w:top w:w="0" w:type="dxa"/>
                    <w:left w:w="57" w:type="dxa"/>
                    <w:bottom w:w="0" w:type="dxa"/>
                    <w:right w:w="0" w:type="dxa"/>
                  </w:tcMar>
                  <w:hideMark/>
                </w:tcPr>
                <w:p w14:paraId="19687A39"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f</w:t>
                  </w:r>
                </w:p>
              </w:tc>
              <w:tc>
                <w:tcPr>
                  <w:tcW w:w="5822" w:type="dxa"/>
                  <w:gridSpan w:val="4"/>
                  <w:tcBorders>
                    <w:top w:val="nil"/>
                    <w:left w:val="nil"/>
                    <w:bottom w:val="nil"/>
                    <w:right w:val="nil"/>
                  </w:tcBorders>
                  <w:hideMark/>
                </w:tcPr>
                <w:p w14:paraId="58258B9C" w14:textId="77777777" w:rsidR="00762445" w:rsidRPr="00B163CC" w:rsidRDefault="00762445"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rPr>
                    <w:t>為預測值</w:t>
                  </w:r>
                  <w:r w:rsidRPr="00B163CC">
                    <w:rPr>
                      <w:rFonts w:ascii="Times New Roman" w:eastAsia="標楷體" w:hAnsi="Times New Roman" w:cs="Times New Roman"/>
                    </w:rPr>
                    <w:t>(forecasted)</w:t>
                  </w:r>
                </w:p>
              </w:tc>
            </w:tr>
            <w:tr w:rsidR="00762445" w:rsidRPr="00B163CC" w14:paraId="4363ED4E" w14:textId="77777777" w:rsidTr="00DD6F7E">
              <w:trPr>
                <w:jc w:val="center"/>
              </w:trPr>
              <w:tc>
                <w:tcPr>
                  <w:tcW w:w="846" w:type="dxa"/>
                  <w:tcBorders>
                    <w:top w:val="nil"/>
                    <w:left w:val="nil"/>
                    <w:bottom w:val="nil"/>
                    <w:right w:val="nil"/>
                  </w:tcBorders>
                  <w:tcMar>
                    <w:top w:w="0" w:type="dxa"/>
                    <w:left w:w="85" w:type="dxa"/>
                    <w:bottom w:w="0" w:type="dxa"/>
                    <w:right w:w="0" w:type="dxa"/>
                  </w:tcMar>
                </w:tcPr>
                <w:p w14:paraId="7E0F3971" w14:textId="77777777" w:rsidR="00762445" w:rsidRPr="00B163CC" w:rsidRDefault="00762445" w:rsidP="00294C15">
                  <w:pPr>
                    <w:framePr w:hSpace="180" w:wrap="around" w:vAnchor="text" w:hAnchor="margin" w:xAlign="center" w:y="-35"/>
                    <w:rPr>
                      <w:rFonts w:ascii="Times New Roman" w:eastAsia="標楷體" w:hAnsi="Times New Roman" w:cs="Times New Roman"/>
                    </w:rPr>
                  </w:pPr>
                </w:p>
              </w:tc>
              <w:tc>
                <w:tcPr>
                  <w:tcW w:w="283" w:type="dxa"/>
                  <w:tcBorders>
                    <w:top w:val="nil"/>
                    <w:left w:val="nil"/>
                    <w:bottom w:val="nil"/>
                    <w:right w:val="nil"/>
                  </w:tcBorders>
                </w:tcPr>
                <w:p w14:paraId="291BA827" w14:textId="77777777" w:rsidR="00762445" w:rsidRPr="00B163CC" w:rsidRDefault="00762445" w:rsidP="00294C15">
                  <w:pPr>
                    <w:framePr w:hSpace="180" w:wrap="around" w:vAnchor="text" w:hAnchor="margin" w:xAlign="center" w:y="-35"/>
                    <w:rPr>
                      <w:rFonts w:ascii="Times New Roman" w:eastAsia="標楷體" w:hAnsi="Times New Roman" w:cs="Times New Roman"/>
                    </w:rPr>
                  </w:pPr>
                </w:p>
              </w:tc>
              <w:tc>
                <w:tcPr>
                  <w:tcW w:w="284" w:type="dxa"/>
                  <w:tcBorders>
                    <w:top w:val="nil"/>
                    <w:left w:val="nil"/>
                    <w:bottom w:val="nil"/>
                    <w:right w:val="nil"/>
                  </w:tcBorders>
                  <w:tcMar>
                    <w:top w:w="0" w:type="dxa"/>
                    <w:left w:w="57" w:type="dxa"/>
                    <w:bottom w:w="0" w:type="dxa"/>
                    <w:right w:w="0" w:type="dxa"/>
                  </w:tcMar>
                  <w:hideMark/>
                </w:tcPr>
                <w:p w14:paraId="250E9CA3" w14:textId="77777777" w:rsidR="00762445" w:rsidRPr="00B163CC" w:rsidRDefault="00762445" w:rsidP="00294C15">
                  <w:pPr>
                    <w:framePr w:hSpace="180" w:wrap="around" w:vAnchor="text" w:hAnchor="margin" w:xAlign="center" w:y="-35"/>
                    <w:jc w:val="center"/>
                    <w:rPr>
                      <w:rFonts w:ascii="Times New Roman" w:eastAsia="標楷體" w:hAnsi="Times New Roman" w:cs="Times New Roman"/>
                    </w:rPr>
                  </w:pPr>
                  <w:r w:rsidRPr="00B163CC">
                    <w:rPr>
                      <w:rFonts w:ascii="Times New Roman" w:eastAsia="標楷體" w:hAnsi="Times New Roman" w:cs="Times New Roman"/>
                    </w:rPr>
                    <w:t>p</w:t>
                  </w:r>
                </w:p>
              </w:tc>
              <w:tc>
                <w:tcPr>
                  <w:tcW w:w="5822" w:type="dxa"/>
                  <w:gridSpan w:val="4"/>
                  <w:tcBorders>
                    <w:top w:val="nil"/>
                    <w:left w:val="nil"/>
                    <w:bottom w:val="nil"/>
                    <w:right w:val="nil"/>
                  </w:tcBorders>
                  <w:hideMark/>
                </w:tcPr>
                <w:p w14:paraId="3C9BE318" w14:textId="77777777" w:rsidR="00762445" w:rsidRPr="00B163CC" w:rsidRDefault="00762445"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rPr>
                    <w:t>為估計值</w:t>
                  </w:r>
                  <w:r w:rsidRPr="00B163CC">
                    <w:rPr>
                      <w:rFonts w:ascii="Times New Roman" w:eastAsia="標楷體" w:hAnsi="Times New Roman" w:cs="Times New Roman"/>
                    </w:rPr>
                    <w:t>(predicted)</w:t>
                  </w:r>
                </w:p>
              </w:tc>
            </w:tr>
            <w:tr w:rsidR="00762445" w:rsidRPr="00B163CC" w14:paraId="04AB75C5" w14:textId="77777777" w:rsidTr="00DD6F7E">
              <w:trPr>
                <w:jc w:val="center"/>
              </w:trPr>
              <w:tc>
                <w:tcPr>
                  <w:tcW w:w="846" w:type="dxa"/>
                  <w:tcBorders>
                    <w:top w:val="nil"/>
                    <w:left w:val="nil"/>
                    <w:bottom w:val="nil"/>
                    <w:right w:val="nil"/>
                  </w:tcBorders>
                  <w:tcMar>
                    <w:top w:w="0" w:type="dxa"/>
                    <w:left w:w="85" w:type="dxa"/>
                    <w:bottom w:w="0" w:type="dxa"/>
                    <w:right w:w="0" w:type="dxa"/>
                  </w:tcMar>
                </w:tcPr>
                <w:p w14:paraId="6B939E27" w14:textId="77777777" w:rsidR="00762445" w:rsidRPr="00B163CC" w:rsidRDefault="00762445" w:rsidP="00294C15">
                  <w:pPr>
                    <w:framePr w:hSpace="180" w:wrap="around" w:vAnchor="text" w:hAnchor="margin" w:xAlign="center" w:y="-35"/>
                    <w:rPr>
                      <w:rFonts w:ascii="Times New Roman" w:eastAsia="標楷體" w:hAnsi="Times New Roman" w:cs="Times New Roman"/>
                    </w:rPr>
                  </w:pPr>
                </w:p>
              </w:tc>
              <w:tc>
                <w:tcPr>
                  <w:tcW w:w="283" w:type="dxa"/>
                  <w:tcBorders>
                    <w:top w:val="nil"/>
                    <w:left w:val="nil"/>
                    <w:bottom w:val="nil"/>
                    <w:right w:val="nil"/>
                  </w:tcBorders>
                  <w:hideMark/>
                </w:tcPr>
                <w:p w14:paraId="19272FB0" w14:textId="77777777" w:rsidR="00762445" w:rsidRPr="00B163CC" w:rsidRDefault="00762445"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rPr>
                    <w:t>2.</w:t>
                  </w:r>
                </w:p>
              </w:tc>
              <w:tc>
                <w:tcPr>
                  <w:tcW w:w="6106" w:type="dxa"/>
                  <w:gridSpan w:val="5"/>
                  <w:tcBorders>
                    <w:top w:val="nil"/>
                    <w:left w:val="nil"/>
                    <w:bottom w:val="nil"/>
                    <w:right w:val="nil"/>
                  </w:tcBorders>
                  <w:tcMar>
                    <w:top w:w="0" w:type="dxa"/>
                    <w:left w:w="57" w:type="dxa"/>
                    <w:bottom w:w="0" w:type="dxa"/>
                    <w:right w:w="0" w:type="dxa"/>
                  </w:tcMar>
                  <w:hideMark/>
                </w:tcPr>
                <w:p w14:paraId="0F5D2D9C" w14:textId="77777777" w:rsidR="00762445" w:rsidRPr="00B163CC" w:rsidRDefault="00762445"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rPr>
                    <w:t>最近一次的基準循環轉折點：</w:t>
                  </w:r>
                  <w:r w:rsidRPr="00B163CC">
                    <w:rPr>
                      <w:rFonts w:ascii="Times New Roman" w:eastAsia="標楷體" w:hAnsi="Times New Roman" w:cs="Times New Roman"/>
                    </w:rPr>
                    <w:t>2017</w:t>
                  </w:r>
                  <w:r w:rsidRPr="00B163CC">
                    <w:rPr>
                      <w:rFonts w:ascii="Times New Roman" w:eastAsia="標楷體" w:hAnsi="Times New Roman" w:cs="Times New Roman"/>
                    </w:rPr>
                    <w:t>年</w:t>
                  </w:r>
                  <w:r w:rsidR="00637EFF" w:rsidRPr="00B163CC">
                    <w:rPr>
                      <w:rFonts w:ascii="Times New Roman" w:eastAsia="標楷體" w:hAnsi="Times New Roman" w:cs="Times New Roman"/>
                      <w:lang w:eastAsia="zh-TW"/>
                    </w:rPr>
                    <w:t>4</w:t>
                  </w:r>
                  <w:r w:rsidRPr="00B163CC">
                    <w:rPr>
                      <w:rFonts w:ascii="Times New Roman" w:eastAsia="標楷體" w:hAnsi="Times New Roman" w:cs="Times New Roman"/>
                    </w:rPr>
                    <w:t>月</w:t>
                  </w:r>
                  <w:r w:rsidRPr="00B163CC">
                    <w:rPr>
                      <w:rFonts w:ascii="Times New Roman" w:eastAsia="標楷體" w:hAnsi="Times New Roman" w:cs="Times New Roman"/>
                    </w:rPr>
                    <w:t>(</w:t>
                  </w:r>
                  <w:r w:rsidRPr="00B163CC">
                    <w:rPr>
                      <w:rFonts w:ascii="Times New Roman" w:eastAsia="標楷體" w:hAnsi="Times New Roman" w:cs="Times New Roman"/>
                    </w:rPr>
                    <w:t>谷</w:t>
                  </w:r>
                  <w:r w:rsidR="00C83BC1" w:rsidRPr="00B163CC">
                    <w:rPr>
                      <w:rFonts w:ascii="Times New Roman" w:eastAsia="標楷體" w:hAnsi="Times New Roman" w:cs="Times New Roman"/>
                      <w:lang w:eastAsia="zh-TW"/>
                    </w:rPr>
                    <w:t>底</w:t>
                  </w:r>
                  <w:r w:rsidRPr="00B163CC">
                    <w:rPr>
                      <w:rFonts w:ascii="Times New Roman" w:eastAsia="標楷體" w:hAnsi="Times New Roman" w:cs="Times New Roman"/>
                    </w:rPr>
                    <w:t>)</w:t>
                  </w:r>
                </w:p>
              </w:tc>
            </w:tr>
            <w:tr w:rsidR="00762445" w:rsidRPr="00B163CC" w14:paraId="2B337428" w14:textId="77777777" w:rsidTr="00DD6F7E">
              <w:trPr>
                <w:jc w:val="center"/>
              </w:trPr>
              <w:tc>
                <w:tcPr>
                  <w:tcW w:w="846" w:type="dxa"/>
                  <w:tcBorders>
                    <w:top w:val="nil"/>
                    <w:left w:val="nil"/>
                    <w:bottom w:val="nil"/>
                    <w:right w:val="nil"/>
                  </w:tcBorders>
                  <w:tcMar>
                    <w:top w:w="0" w:type="dxa"/>
                    <w:left w:w="85" w:type="dxa"/>
                    <w:bottom w:w="0" w:type="dxa"/>
                    <w:right w:w="0" w:type="dxa"/>
                  </w:tcMar>
                </w:tcPr>
                <w:p w14:paraId="40D1AD9B" w14:textId="77777777" w:rsidR="00762445" w:rsidRPr="00B163CC" w:rsidRDefault="00762445" w:rsidP="00294C15">
                  <w:pPr>
                    <w:framePr w:hSpace="180" w:wrap="around" w:vAnchor="text" w:hAnchor="margin" w:xAlign="center" w:y="-35"/>
                    <w:rPr>
                      <w:rFonts w:ascii="Times New Roman" w:eastAsia="標楷體" w:hAnsi="Times New Roman" w:cs="Times New Roman"/>
                    </w:rPr>
                  </w:pPr>
                </w:p>
              </w:tc>
              <w:tc>
                <w:tcPr>
                  <w:tcW w:w="283" w:type="dxa"/>
                  <w:tcBorders>
                    <w:top w:val="nil"/>
                    <w:left w:val="nil"/>
                    <w:bottom w:val="nil"/>
                    <w:right w:val="nil"/>
                  </w:tcBorders>
                  <w:hideMark/>
                </w:tcPr>
                <w:p w14:paraId="46FDDF23" w14:textId="77777777" w:rsidR="00762445" w:rsidRPr="00B163CC" w:rsidRDefault="00762445"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rPr>
                    <w:t>3.</w:t>
                  </w:r>
                </w:p>
              </w:tc>
              <w:tc>
                <w:tcPr>
                  <w:tcW w:w="6106" w:type="dxa"/>
                  <w:gridSpan w:val="5"/>
                  <w:tcBorders>
                    <w:top w:val="nil"/>
                    <w:left w:val="nil"/>
                    <w:bottom w:val="nil"/>
                    <w:right w:val="nil"/>
                  </w:tcBorders>
                  <w:tcMar>
                    <w:top w:w="0" w:type="dxa"/>
                    <w:left w:w="57" w:type="dxa"/>
                    <w:bottom w:w="0" w:type="dxa"/>
                    <w:right w:w="0" w:type="dxa"/>
                  </w:tcMar>
                  <w:hideMark/>
                </w:tcPr>
                <w:p w14:paraId="146614AA" w14:textId="77777777" w:rsidR="00762445" w:rsidRPr="00B163CC" w:rsidRDefault="00762445" w:rsidP="00294C15">
                  <w:pPr>
                    <w:framePr w:hSpace="180" w:wrap="around" w:vAnchor="text" w:hAnchor="margin" w:xAlign="center" w:y="-35"/>
                    <w:rPr>
                      <w:rFonts w:ascii="Times New Roman" w:eastAsia="標楷體" w:hAnsi="Times New Roman" w:cs="Times New Roman"/>
                      <w:lang w:eastAsia="zh-TW"/>
                    </w:rPr>
                  </w:pPr>
                  <w:r w:rsidRPr="00B163CC">
                    <w:rPr>
                      <w:rFonts w:ascii="Times New Roman" w:eastAsia="標楷體" w:hAnsi="Times New Roman" w:cs="Times New Roman"/>
                    </w:rPr>
                    <w:t>領先指標子指標：</w:t>
                  </w:r>
                  <w:r w:rsidRPr="00B163CC">
                    <w:rPr>
                      <w:rFonts w:ascii="Times New Roman" w:eastAsia="標楷體" w:hAnsi="Times New Roman" w:cs="Times New Roman"/>
                    </w:rPr>
                    <w:t>(1)</w:t>
                  </w:r>
                  <w:r w:rsidRPr="00B163CC">
                    <w:rPr>
                      <w:rFonts w:ascii="Times New Roman" w:eastAsia="標楷體" w:hAnsi="Times New Roman" w:cs="Times New Roman"/>
                    </w:rPr>
                    <w:t>運輸及倉儲業實質</w:t>
                  </w:r>
                  <w:r w:rsidRPr="00B163CC">
                    <w:rPr>
                      <w:rFonts w:ascii="Times New Roman" w:eastAsia="標楷體" w:hAnsi="Times New Roman" w:cs="Times New Roman"/>
                    </w:rPr>
                    <w:t>GDP</w:t>
                  </w:r>
                  <w:r w:rsidR="00FB4993" w:rsidRPr="00B163CC">
                    <w:rPr>
                      <w:rFonts w:ascii="Times New Roman" w:eastAsia="標楷體" w:hAnsi="Times New Roman" w:cs="Times New Roman"/>
                    </w:rPr>
                    <w:t>*</w:t>
                  </w:r>
                  <w:r w:rsidRPr="00B163CC">
                    <w:rPr>
                      <w:rFonts w:ascii="Times New Roman" w:eastAsia="標楷體" w:hAnsi="Times New Roman" w:cs="Times New Roman"/>
                    </w:rPr>
                    <w:t>、</w:t>
                  </w:r>
                  <w:r w:rsidRPr="00B163CC">
                    <w:rPr>
                      <w:rFonts w:ascii="Times New Roman" w:eastAsia="標楷體" w:hAnsi="Times New Roman" w:cs="Times New Roman"/>
                    </w:rPr>
                    <w:t>(2)</w:t>
                  </w:r>
                  <w:r w:rsidRPr="00B163CC">
                    <w:rPr>
                      <w:rFonts w:ascii="Times New Roman" w:eastAsia="標楷體" w:hAnsi="Times New Roman" w:cs="Times New Roman"/>
                    </w:rPr>
                    <w:t>民間實質固定資本形成</w:t>
                  </w:r>
                  <w:r w:rsidR="00FB4993" w:rsidRPr="00B163CC">
                    <w:rPr>
                      <w:rFonts w:ascii="Times New Roman" w:eastAsia="標楷體" w:hAnsi="Times New Roman" w:cs="Times New Roman"/>
                      <w:lang w:eastAsia="zh-TW"/>
                    </w:rPr>
                    <w:t>*</w:t>
                  </w:r>
                  <w:r w:rsidRPr="00B163CC">
                    <w:rPr>
                      <w:rFonts w:ascii="Times New Roman" w:eastAsia="標楷體" w:hAnsi="Times New Roman" w:cs="Times New Roman"/>
                    </w:rPr>
                    <w:t>、</w:t>
                  </w:r>
                  <w:r w:rsidRPr="00B163CC">
                    <w:rPr>
                      <w:rFonts w:ascii="Times New Roman" w:eastAsia="標楷體" w:hAnsi="Times New Roman" w:cs="Times New Roman"/>
                    </w:rPr>
                    <w:t>(3)</w:t>
                  </w:r>
                  <w:r w:rsidRPr="00B163CC">
                    <w:rPr>
                      <w:rFonts w:ascii="Times New Roman" w:eastAsia="標楷體" w:hAnsi="Times New Roman" w:cs="Times New Roman"/>
                    </w:rPr>
                    <w:t>服務貿易收支淨額</w:t>
                  </w:r>
                  <w:r w:rsidR="00FB4993" w:rsidRPr="00B163CC">
                    <w:rPr>
                      <w:rFonts w:ascii="Times New Roman" w:eastAsia="標楷體" w:hAnsi="Times New Roman" w:cs="Times New Roman"/>
                      <w:lang w:eastAsia="zh-TW"/>
                    </w:rPr>
                    <w:t>*</w:t>
                  </w:r>
                  <w:r w:rsidRPr="00B163CC">
                    <w:rPr>
                      <w:rFonts w:ascii="Times New Roman" w:eastAsia="標楷體" w:hAnsi="Times New Roman" w:cs="Times New Roman"/>
                    </w:rPr>
                    <w:t>、</w:t>
                  </w:r>
                  <w:r w:rsidRPr="00B163CC">
                    <w:rPr>
                      <w:rFonts w:ascii="Times New Roman" w:eastAsia="標楷體" w:hAnsi="Times New Roman" w:cs="Times New Roman"/>
                    </w:rPr>
                    <w:t>(4)</w:t>
                  </w:r>
                  <w:r w:rsidRPr="00B163CC">
                    <w:rPr>
                      <w:rFonts w:ascii="Times New Roman" w:eastAsia="標楷體" w:hAnsi="Times New Roman" w:cs="Times New Roman"/>
                    </w:rPr>
                    <w:t>失業給付初次認定受理件數</w:t>
                  </w:r>
                  <w:r w:rsidRPr="00B163CC">
                    <w:rPr>
                      <w:rFonts w:ascii="Times New Roman" w:eastAsia="標楷體" w:hAnsi="Times New Roman" w:cs="Times New Roman"/>
                    </w:rPr>
                    <w:t>(</w:t>
                  </w:r>
                  <w:r w:rsidRPr="00B163CC">
                    <w:rPr>
                      <w:rFonts w:ascii="Times New Roman" w:eastAsia="標楷體" w:hAnsi="Times New Roman" w:cs="Times New Roman"/>
                    </w:rPr>
                    <w:t>倒數</w:t>
                  </w:r>
                  <w:r w:rsidRPr="00B163CC">
                    <w:rPr>
                      <w:rFonts w:ascii="Times New Roman" w:eastAsia="標楷體" w:hAnsi="Times New Roman" w:cs="Times New Roman"/>
                    </w:rPr>
                    <w:t>)</w:t>
                  </w:r>
                  <w:r w:rsidRPr="00B163CC">
                    <w:rPr>
                      <w:rFonts w:ascii="Times New Roman" w:eastAsia="標楷體" w:hAnsi="Times New Roman" w:cs="Times New Roman"/>
                    </w:rPr>
                    <w:t>、</w:t>
                  </w:r>
                  <w:r w:rsidRPr="00B163CC">
                    <w:rPr>
                      <w:rFonts w:ascii="Times New Roman" w:eastAsia="標楷體" w:hAnsi="Times New Roman" w:cs="Times New Roman"/>
                    </w:rPr>
                    <w:t>(5)</w:t>
                  </w:r>
                  <w:r w:rsidRPr="00B163CC">
                    <w:rPr>
                      <w:rFonts w:ascii="Times New Roman" w:eastAsia="標楷體" w:hAnsi="Times New Roman" w:cs="Times New Roman"/>
                    </w:rPr>
                    <w:t>商業服務業僱員</w:t>
                  </w:r>
                  <w:r w:rsidRPr="00B163CC">
                    <w:rPr>
                      <w:rFonts w:ascii="Times New Roman" w:eastAsia="標楷體" w:hAnsi="Times New Roman" w:cs="Times New Roman"/>
                    </w:rPr>
                    <w:t>_</w:t>
                  </w:r>
                  <w:r w:rsidRPr="00B163CC">
                    <w:rPr>
                      <w:rFonts w:ascii="Times New Roman" w:eastAsia="標楷體" w:hAnsi="Times New Roman" w:cs="Times New Roman"/>
                    </w:rPr>
                    <w:t>淨進入率、</w:t>
                  </w:r>
                  <w:r w:rsidRPr="00B163CC">
                    <w:rPr>
                      <w:rFonts w:ascii="Times New Roman" w:eastAsia="標楷體" w:hAnsi="Times New Roman" w:cs="Times New Roman"/>
                    </w:rPr>
                    <w:t>(6)</w:t>
                  </w:r>
                  <w:r w:rsidRPr="00B163CC">
                    <w:rPr>
                      <w:rFonts w:ascii="Times New Roman" w:eastAsia="標楷體" w:hAnsi="Times New Roman" w:cs="Times New Roman"/>
                    </w:rPr>
                    <w:t>商業服務業股價指數</w:t>
                  </w:r>
                </w:p>
              </w:tc>
            </w:tr>
            <w:tr w:rsidR="00762445" w:rsidRPr="00B163CC" w14:paraId="7FE3B412" w14:textId="77777777" w:rsidTr="00DD6F7E">
              <w:trPr>
                <w:jc w:val="center"/>
              </w:trPr>
              <w:tc>
                <w:tcPr>
                  <w:tcW w:w="846" w:type="dxa"/>
                  <w:tcBorders>
                    <w:top w:val="nil"/>
                    <w:left w:val="nil"/>
                    <w:bottom w:val="nil"/>
                    <w:right w:val="nil"/>
                  </w:tcBorders>
                  <w:tcMar>
                    <w:top w:w="0" w:type="dxa"/>
                    <w:left w:w="85" w:type="dxa"/>
                    <w:bottom w:w="0" w:type="dxa"/>
                    <w:right w:w="0" w:type="dxa"/>
                  </w:tcMar>
                </w:tcPr>
                <w:p w14:paraId="6FFBF76C" w14:textId="77777777" w:rsidR="00762445" w:rsidRPr="00B163CC" w:rsidRDefault="00762445" w:rsidP="00294C15">
                  <w:pPr>
                    <w:framePr w:hSpace="180" w:wrap="around" w:vAnchor="text" w:hAnchor="margin" w:xAlign="center" w:y="-35"/>
                    <w:rPr>
                      <w:rFonts w:ascii="Times New Roman" w:eastAsia="標楷體" w:hAnsi="Times New Roman" w:cs="Times New Roman"/>
                    </w:rPr>
                  </w:pPr>
                </w:p>
              </w:tc>
              <w:tc>
                <w:tcPr>
                  <w:tcW w:w="283" w:type="dxa"/>
                  <w:tcBorders>
                    <w:top w:val="nil"/>
                    <w:left w:val="nil"/>
                    <w:bottom w:val="nil"/>
                    <w:right w:val="nil"/>
                  </w:tcBorders>
                  <w:hideMark/>
                </w:tcPr>
                <w:p w14:paraId="304FE2B8" w14:textId="77777777" w:rsidR="00762445" w:rsidRPr="00B163CC" w:rsidRDefault="00762445"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rPr>
                    <w:t>4.</w:t>
                  </w:r>
                </w:p>
              </w:tc>
              <w:tc>
                <w:tcPr>
                  <w:tcW w:w="6106" w:type="dxa"/>
                  <w:gridSpan w:val="5"/>
                  <w:tcBorders>
                    <w:top w:val="nil"/>
                    <w:left w:val="nil"/>
                    <w:bottom w:val="nil"/>
                    <w:right w:val="nil"/>
                  </w:tcBorders>
                  <w:tcMar>
                    <w:top w:w="0" w:type="dxa"/>
                    <w:left w:w="57" w:type="dxa"/>
                    <w:bottom w:w="0" w:type="dxa"/>
                    <w:right w:w="0" w:type="dxa"/>
                  </w:tcMar>
                  <w:hideMark/>
                </w:tcPr>
                <w:p w14:paraId="03B989AF" w14:textId="77777777" w:rsidR="00762445" w:rsidRPr="00B163CC" w:rsidRDefault="00762445" w:rsidP="00294C15">
                  <w:pPr>
                    <w:framePr w:hSpace="180" w:wrap="around" w:vAnchor="text" w:hAnchor="margin" w:xAlign="center" w:y="-35"/>
                    <w:rPr>
                      <w:rFonts w:ascii="Times New Roman" w:eastAsia="標楷體" w:hAnsi="Times New Roman" w:cs="Times New Roman"/>
                      <w:lang w:eastAsia="zh-TW"/>
                    </w:rPr>
                  </w:pPr>
                  <w:r w:rsidRPr="00B163CC">
                    <w:rPr>
                      <w:rFonts w:ascii="Times New Roman" w:eastAsia="標楷體" w:hAnsi="Times New Roman" w:cs="Times New Roman"/>
                    </w:rPr>
                    <w:t>同行指標子指標：</w:t>
                  </w:r>
                  <w:r w:rsidRPr="00B163CC">
                    <w:rPr>
                      <w:rFonts w:ascii="Times New Roman" w:eastAsia="標楷體" w:hAnsi="Times New Roman" w:cs="Times New Roman"/>
                    </w:rPr>
                    <w:t>(1)</w:t>
                  </w:r>
                  <w:r w:rsidRPr="00B163CC">
                    <w:rPr>
                      <w:rFonts w:ascii="Times New Roman" w:eastAsia="標楷體" w:hAnsi="Times New Roman" w:cs="Times New Roman"/>
                    </w:rPr>
                    <w:t>批發及零售業實質</w:t>
                  </w:r>
                  <w:r w:rsidRPr="00B163CC">
                    <w:rPr>
                      <w:rFonts w:ascii="Times New Roman" w:eastAsia="標楷體" w:hAnsi="Times New Roman" w:cs="Times New Roman"/>
                    </w:rPr>
                    <w:t>GDP</w:t>
                  </w:r>
                  <w:r w:rsidR="00FB4993" w:rsidRPr="00B163CC">
                    <w:rPr>
                      <w:rFonts w:ascii="Times New Roman" w:eastAsia="標楷體" w:hAnsi="Times New Roman" w:cs="Times New Roman"/>
                    </w:rPr>
                    <w:t>*</w:t>
                  </w:r>
                  <w:r w:rsidRPr="00B163CC">
                    <w:rPr>
                      <w:rFonts w:ascii="Times New Roman" w:eastAsia="標楷體" w:hAnsi="Times New Roman" w:cs="Times New Roman"/>
                    </w:rPr>
                    <w:t>、</w:t>
                  </w:r>
                  <w:r w:rsidRPr="00B163CC">
                    <w:rPr>
                      <w:rFonts w:ascii="Times New Roman" w:eastAsia="標楷體" w:hAnsi="Times New Roman" w:cs="Times New Roman"/>
                    </w:rPr>
                    <w:t>(2)</w:t>
                  </w:r>
                  <w:r w:rsidRPr="00B163CC">
                    <w:rPr>
                      <w:rFonts w:ascii="Times New Roman" w:eastAsia="標楷體" w:hAnsi="Times New Roman" w:cs="Times New Roman"/>
                    </w:rPr>
                    <w:t>金融及保險業實質</w:t>
                  </w:r>
                  <w:r w:rsidRPr="00B163CC">
                    <w:rPr>
                      <w:rFonts w:ascii="Times New Roman" w:eastAsia="標楷體" w:hAnsi="Times New Roman" w:cs="Times New Roman"/>
                    </w:rPr>
                    <w:t>GDP</w:t>
                  </w:r>
                  <w:r w:rsidR="00FB4993" w:rsidRPr="00B163CC">
                    <w:rPr>
                      <w:rFonts w:ascii="Times New Roman" w:eastAsia="標楷體" w:hAnsi="Times New Roman" w:cs="Times New Roman"/>
                    </w:rPr>
                    <w:t>*</w:t>
                  </w:r>
                  <w:r w:rsidRPr="00B163CC">
                    <w:rPr>
                      <w:rFonts w:ascii="Times New Roman" w:eastAsia="標楷體" w:hAnsi="Times New Roman" w:cs="Times New Roman"/>
                    </w:rPr>
                    <w:t>、</w:t>
                  </w:r>
                  <w:r w:rsidRPr="00B163CC">
                    <w:rPr>
                      <w:rFonts w:ascii="Times New Roman" w:eastAsia="標楷體" w:hAnsi="Times New Roman" w:cs="Times New Roman"/>
                    </w:rPr>
                    <w:t>(3)</w:t>
                  </w:r>
                  <w:r w:rsidRPr="00B163CC">
                    <w:rPr>
                      <w:rFonts w:ascii="Times New Roman" w:eastAsia="標楷體" w:hAnsi="Times New Roman" w:cs="Times New Roman"/>
                    </w:rPr>
                    <w:t>實質不動產及住宅服務業</w:t>
                  </w:r>
                  <w:r w:rsidRPr="00B163CC">
                    <w:rPr>
                      <w:rFonts w:ascii="Times New Roman" w:eastAsia="標楷體" w:hAnsi="Times New Roman" w:cs="Times New Roman"/>
                    </w:rPr>
                    <w:t>GDP</w:t>
                  </w:r>
                  <w:r w:rsidR="00FB4993" w:rsidRPr="00B163CC">
                    <w:rPr>
                      <w:rFonts w:ascii="Times New Roman" w:eastAsia="標楷體" w:hAnsi="Times New Roman" w:cs="Times New Roman"/>
                    </w:rPr>
                    <w:t>*</w:t>
                  </w:r>
                  <w:r w:rsidRPr="00B163CC">
                    <w:rPr>
                      <w:rFonts w:ascii="Times New Roman" w:eastAsia="標楷體" w:hAnsi="Times New Roman" w:cs="Times New Roman"/>
                    </w:rPr>
                    <w:t>、</w:t>
                  </w:r>
                  <w:r w:rsidRPr="00B163CC">
                    <w:rPr>
                      <w:rFonts w:ascii="Times New Roman" w:eastAsia="標楷體" w:hAnsi="Times New Roman" w:cs="Times New Roman"/>
                    </w:rPr>
                    <w:t>(4)</w:t>
                  </w:r>
                  <w:r w:rsidRPr="00B163CC">
                    <w:rPr>
                      <w:rFonts w:ascii="Times New Roman" w:eastAsia="標楷體" w:hAnsi="Times New Roman" w:cs="Times New Roman"/>
                    </w:rPr>
                    <w:t>住宅服務、水電瓦斯及其他燃料實質消費</w:t>
                  </w:r>
                  <w:r w:rsidR="00FB4993" w:rsidRPr="00B163CC">
                    <w:rPr>
                      <w:rFonts w:ascii="Times New Roman" w:eastAsia="標楷體" w:hAnsi="Times New Roman" w:cs="Times New Roman"/>
                      <w:lang w:eastAsia="zh-TW"/>
                    </w:rPr>
                    <w:t>*</w:t>
                  </w:r>
                  <w:r w:rsidRPr="00B163CC">
                    <w:rPr>
                      <w:rFonts w:ascii="Times New Roman" w:eastAsia="標楷體" w:hAnsi="Times New Roman" w:cs="Times New Roman"/>
                    </w:rPr>
                    <w:t>、</w:t>
                  </w:r>
                  <w:r w:rsidRPr="00B163CC">
                    <w:rPr>
                      <w:rFonts w:ascii="Times New Roman" w:eastAsia="標楷體" w:hAnsi="Times New Roman" w:cs="Times New Roman"/>
                    </w:rPr>
                    <w:t>(5)</w:t>
                  </w:r>
                  <w:r w:rsidRPr="00B163CC">
                    <w:rPr>
                      <w:rFonts w:ascii="Times New Roman" w:eastAsia="標楷體" w:hAnsi="Times New Roman" w:cs="Times New Roman"/>
                    </w:rPr>
                    <w:t>服務業受僱員工人數</w:t>
                  </w:r>
                </w:p>
              </w:tc>
            </w:tr>
            <w:tr w:rsidR="00762445" w:rsidRPr="00B163CC" w14:paraId="084EF6EE" w14:textId="77777777" w:rsidTr="00DD6F7E">
              <w:trPr>
                <w:jc w:val="center"/>
              </w:trPr>
              <w:tc>
                <w:tcPr>
                  <w:tcW w:w="846" w:type="dxa"/>
                  <w:tcBorders>
                    <w:top w:val="nil"/>
                    <w:left w:val="nil"/>
                    <w:bottom w:val="nil"/>
                    <w:right w:val="nil"/>
                  </w:tcBorders>
                  <w:tcMar>
                    <w:top w:w="0" w:type="dxa"/>
                    <w:left w:w="85" w:type="dxa"/>
                    <w:bottom w:w="0" w:type="dxa"/>
                    <w:right w:w="0" w:type="dxa"/>
                  </w:tcMar>
                </w:tcPr>
                <w:p w14:paraId="5D800AE7" w14:textId="77777777" w:rsidR="00762445" w:rsidRPr="00B163CC" w:rsidRDefault="00762445" w:rsidP="00294C15">
                  <w:pPr>
                    <w:framePr w:hSpace="180" w:wrap="around" w:vAnchor="text" w:hAnchor="margin" w:xAlign="center" w:y="-35"/>
                    <w:rPr>
                      <w:rFonts w:ascii="Times New Roman" w:eastAsia="標楷體" w:hAnsi="Times New Roman" w:cs="Times New Roman"/>
                    </w:rPr>
                  </w:pPr>
                </w:p>
              </w:tc>
              <w:tc>
                <w:tcPr>
                  <w:tcW w:w="283" w:type="dxa"/>
                  <w:tcBorders>
                    <w:top w:val="nil"/>
                    <w:left w:val="nil"/>
                    <w:bottom w:val="nil"/>
                    <w:right w:val="nil"/>
                  </w:tcBorders>
                  <w:hideMark/>
                </w:tcPr>
                <w:p w14:paraId="142F1D35" w14:textId="77777777" w:rsidR="00762445" w:rsidRPr="00B163CC" w:rsidRDefault="00762445"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rPr>
                    <w:t>5.</w:t>
                  </w:r>
                </w:p>
              </w:tc>
              <w:tc>
                <w:tcPr>
                  <w:tcW w:w="6106" w:type="dxa"/>
                  <w:gridSpan w:val="5"/>
                  <w:tcBorders>
                    <w:top w:val="nil"/>
                    <w:left w:val="nil"/>
                    <w:bottom w:val="nil"/>
                    <w:right w:val="nil"/>
                  </w:tcBorders>
                  <w:tcMar>
                    <w:top w:w="0" w:type="dxa"/>
                    <w:left w:w="57" w:type="dxa"/>
                    <w:bottom w:w="0" w:type="dxa"/>
                    <w:right w:w="0" w:type="dxa"/>
                  </w:tcMar>
                  <w:hideMark/>
                </w:tcPr>
                <w:p w14:paraId="6E803332" w14:textId="77777777" w:rsidR="00FB4993" w:rsidRPr="00B163CC" w:rsidRDefault="00762445" w:rsidP="00294C15">
                  <w:pPr>
                    <w:framePr w:hSpace="180" w:wrap="around" w:vAnchor="text" w:hAnchor="margin" w:xAlign="center" w:y="-35"/>
                    <w:rPr>
                      <w:rFonts w:ascii="Times New Roman" w:eastAsia="標楷體" w:hAnsi="Times New Roman" w:cs="Times New Roman"/>
                    </w:rPr>
                  </w:pPr>
                  <w:r w:rsidRPr="00B163CC">
                    <w:rPr>
                      <w:rFonts w:ascii="Times New Roman" w:eastAsia="標楷體" w:hAnsi="Times New Roman" w:cs="Times New Roman"/>
                    </w:rPr>
                    <w:t>落後指標子指標：</w:t>
                  </w:r>
                  <w:r w:rsidRPr="00B163CC">
                    <w:rPr>
                      <w:rFonts w:ascii="Times New Roman" w:eastAsia="標楷體" w:hAnsi="Times New Roman" w:cs="Times New Roman"/>
                    </w:rPr>
                    <w:t>(1)</w:t>
                  </w:r>
                  <w:r w:rsidRPr="00B163CC">
                    <w:rPr>
                      <w:rFonts w:ascii="Times New Roman" w:eastAsia="標楷體" w:hAnsi="Times New Roman" w:cs="Times New Roman"/>
                    </w:rPr>
                    <w:t>菸酒實質消費</w:t>
                  </w:r>
                  <w:r w:rsidR="00FB4993" w:rsidRPr="00B163CC">
                    <w:rPr>
                      <w:rFonts w:ascii="Times New Roman" w:eastAsia="標楷體" w:hAnsi="Times New Roman" w:cs="Times New Roman"/>
                      <w:lang w:eastAsia="zh-TW"/>
                    </w:rPr>
                    <w:t>*</w:t>
                  </w:r>
                  <w:r w:rsidRPr="00B163CC">
                    <w:rPr>
                      <w:rFonts w:ascii="Times New Roman" w:eastAsia="標楷體" w:hAnsi="Times New Roman" w:cs="Times New Roman"/>
                    </w:rPr>
                    <w:t>、</w:t>
                  </w:r>
                  <w:r w:rsidRPr="00B163CC">
                    <w:rPr>
                      <w:rFonts w:ascii="Times New Roman" w:eastAsia="標楷體" w:hAnsi="Times New Roman" w:cs="Times New Roman"/>
                    </w:rPr>
                    <w:t xml:space="preserve">(2) </w:t>
                  </w:r>
                  <w:r w:rsidRPr="00B163CC">
                    <w:rPr>
                      <w:rFonts w:ascii="Times New Roman" w:eastAsia="標楷體" w:hAnsi="Times New Roman" w:cs="Times New Roman"/>
                    </w:rPr>
                    <w:t>衣著鞋襪及服飾用品實質消費</w:t>
                  </w:r>
                  <w:r w:rsidR="00FB4993" w:rsidRPr="00B163CC">
                    <w:rPr>
                      <w:rFonts w:ascii="Times New Roman" w:eastAsia="標楷體" w:hAnsi="Times New Roman" w:cs="Times New Roman"/>
                      <w:lang w:eastAsia="zh-TW"/>
                    </w:rPr>
                    <w:t>*</w:t>
                  </w:r>
                  <w:r w:rsidRPr="00B163CC">
                    <w:rPr>
                      <w:rFonts w:ascii="Times New Roman" w:eastAsia="標楷體" w:hAnsi="Times New Roman" w:cs="Times New Roman"/>
                    </w:rPr>
                    <w:t>、</w:t>
                  </w:r>
                  <w:r w:rsidRPr="00B163CC">
                    <w:rPr>
                      <w:rFonts w:ascii="Times New Roman" w:eastAsia="標楷體" w:hAnsi="Times New Roman" w:cs="Times New Roman"/>
                    </w:rPr>
                    <w:t>(3)</w:t>
                  </w:r>
                  <w:r w:rsidRPr="00B163CC">
                    <w:rPr>
                      <w:rFonts w:ascii="Times New Roman" w:eastAsia="標楷體" w:hAnsi="Times New Roman" w:cs="Times New Roman"/>
                    </w:rPr>
                    <w:t>家具設備及家務維護實質消費</w:t>
                  </w:r>
                  <w:r w:rsidR="00FB4993" w:rsidRPr="00B163CC">
                    <w:rPr>
                      <w:rFonts w:ascii="Times New Roman" w:eastAsia="標楷體" w:hAnsi="Times New Roman" w:cs="Times New Roman"/>
                      <w:lang w:eastAsia="zh-TW"/>
                    </w:rPr>
                    <w:t>*</w:t>
                  </w:r>
                  <w:r w:rsidRPr="00B163CC">
                    <w:rPr>
                      <w:rFonts w:ascii="Times New Roman" w:eastAsia="標楷體" w:hAnsi="Times New Roman" w:cs="Times New Roman"/>
                    </w:rPr>
                    <w:t>、</w:t>
                  </w:r>
                  <w:r w:rsidRPr="00B163CC">
                    <w:rPr>
                      <w:rFonts w:ascii="Times New Roman" w:eastAsia="標楷體" w:hAnsi="Times New Roman" w:cs="Times New Roman"/>
                    </w:rPr>
                    <w:t>(4)</w:t>
                  </w:r>
                  <w:r w:rsidRPr="00B163CC">
                    <w:rPr>
                      <w:rFonts w:ascii="Times New Roman" w:eastAsia="標楷體" w:hAnsi="Times New Roman" w:cs="Times New Roman"/>
                    </w:rPr>
                    <w:t>失業給付初次認定受理件數</w:t>
                  </w:r>
                </w:p>
                <w:p w14:paraId="4739072A" w14:textId="77777777" w:rsidR="00FB4993" w:rsidRPr="00B163CC" w:rsidRDefault="00FB4993" w:rsidP="00294C15">
                  <w:pPr>
                    <w:framePr w:hSpace="180" w:wrap="around" w:vAnchor="text" w:hAnchor="margin" w:xAlign="center" w:y="-35"/>
                    <w:rPr>
                      <w:rFonts w:ascii="Times New Roman" w:eastAsia="標楷體" w:hAnsi="Times New Roman" w:cs="Times New Roman"/>
                    </w:rPr>
                  </w:pPr>
                </w:p>
                <w:p w14:paraId="71D4B5CA" w14:textId="77777777" w:rsidR="00FB4993" w:rsidRPr="00B163CC" w:rsidRDefault="00FB4993" w:rsidP="00294C15">
                  <w:pPr>
                    <w:framePr w:hSpace="180" w:wrap="around" w:vAnchor="text" w:hAnchor="margin" w:xAlign="center" w:y="-35"/>
                    <w:rPr>
                      <w:rFonts w:ascii="Times New Roman" w:eastAsia="標楷體" w:hAnsi="Times New Roman" w:cs="Times New Roman"/>
                      <w:lang w:eastAsia="zh-TW"/>
                    </w:rPr>
                  </w:pPr>
                  <w:r w:rsidRPr="00B163CC">
                    <w:rPr>
                      <w:rFonts w:ascii="Times New Roman" w:eastAsia="標楷體" w:hAnsi="Times New Roman" w:cs="Times New Roman"/>
                      <w:highlight w:val="yellow"/>
                      <w:lang w:eastAsia="zh-TW"/>
                    </w:rPr>
                    <w:t xml:space="preserve">* </w:t>
                  </w:r>
                  <w:r w:rsidRPr="00B163CC">
                    <w:rPr>
                      <w:rFonts w:ascii="Times New Roman" w:eastAsia="標楷體" w:hAnsi="Times New Roman" w:cs="Times New Roman"/>
                      <w:highlight w:val="yellow"/>
                      <w:lang w:eastAsia="zh-TW"/>
                    </w:rPr>
                    <w:t>表示該指標採用外推值計算</w:t>
                  </w:r>
                </w:p>
              </w:tc>
            </w:tr>
          </w:tbl>
          <w:p w14:paraId="5863B558" w14:textId="77777777" w:rsidR="00C712B4" w:rsidRPr="00B163CC" w:rsidRDefault="000F79D3" w:rsidP="000F79D3">
            <w:pPr>
              <w:rPr>
                <w:rFonts w:ascii="Times New Roman" w:eastAsia="標楷體" w:hAnsi="Times New Roman" w:cs="Times New Roman"/>
              </w:rPr>
            </w:pPr>
            <w:r w:rsidRPr="00B163CC">
              <w:rPr>
                <w:rFonts w:ascii="Times New Roman" w:eastAsia="標楷體" w:hAnsi="Times New Roman" w:cs="Times New Roman"/>
              </w:rPr>
              <w:br w:type="page"/>
            </w:r>
          </w:p>
          <w:p w14:paraId="0430C33E" w14:textId="77777777" w:rsidR="004474C9" w:rsidRPr="00B163CC" w:rsidRDefault="004474C9" w:rsidP="000F79D3">
            <w:pPr>
              <w:rPr>
                <w:rFonts w:ascii="Times New Roman" w:eastAsia="標楷體" w:hAnsi="Times New Roman" w:cs="Times New Roman"/>
              </w:rPr>
            </w:pPr>
          </w:p>
          <w:p w14:paraId="5DBEE5EE" w14:textId="77777777" w:rsidR="004474C9" w:rsidRPr="00B163CC" w:rsidRDefault="004474C9" w:rsidP="000F79D3">
            <w:pPr>
              <w:rPr>
                <w:rFonts w:ascii="Times New Roman" w:eastAsia="標楷體" w:hAnsi="Times New Roman" w:cs="Times New Roman"/>
              </w:rPr>
            </w:pPr>
          </w:p>
          <w:p w14:paraId="39AE3280" w14:textId="77777777" w:rsidR="000F79D3" w:rsidRPr="00B163CC" w:rsidRDefault="000F79D3" w:rsidP="00FB785D">
            <w:pPr>
              <w:jc w:val="center"/>
              <w:rPr>
                <w:rFonts w:ascii="Times New Roman" w:eastAsia="標楷體" w:hAnsi="Times New Roman" w:cs="Times New Roman"/>
                <w:b/>
                <w:bCs/>
                <w:sz w:val="44"/>
                <w:szCs w:val="44"/>
                <w:bdr w:val="single" w:sz="4" w:space="0" w:color="auto"/>
                <w:shd w:val="pct15" w:color="auto" w:fill="FFFFFF"/>
                <w:lang w:eastAsia="zh-CN"/>
              </w:rPr>
            </w:pPr>
            <w:r w:rsidRPr="00B163CC">
              <w:rPr>
                <w:rFonts w:ascii="Times New Roman" w:eastAsia="標楷體" w:hAnsi="Times New Roman" w:cs="Times New Roman"/>
                <w:b/>
                <w:bCs/>
                <w:sz w:val="44"/>
                <w:szCs w:val="44"/>
                <w:bdr w:val="single" w:sz="4" w:space="0" w:color="auto"/>
                <w:shd w:val="pct15" w:color="auto" w:fill="FFFFFF"/>
                <w:lang w:eastAsia="zh-CN"/>
              </w:rPr>
              <w:t>附圖</w:t>
            </w:r>
          </w:p>
          <w:p w14:paraId="6AD434F6" w14:textId="77777777" w:rsidR="000F79D3" w:rsidRPr="00B163CC" w:rsidRDefault="000F79D3" w:rsidP="000F79D3">
            <w:pPr>
              <w:jc w:val="center"/>
              <w:rPr>
                <w:rFonts w:ascii="Times New Roman" w:eastAsia="標楷體" w:hAnsi="Times New Roman" w:cs="Times New Roman"/>
                <w:szCs w:val="24"/>
              </w:rPr>
            </w:pPr>
            <w:r w:rsidRPr="00B163CC">
              <w:rPr>
                <w:rFonts w:ascii="Times New Roman" w:eastAsia="標楷體" w:hAnsi="Times New Roman" w:cs="Times New Roman"/>
              </w:rPr>
              <w:t>Business Cycle Composite Index for Taiwan Service Sector</w:t>
            </w:r>
          </w:p>
          <w:p w14:paraId="6A00A0C0" w14:textId="77777777" w:rsidR="000F79D3" w:rsidRPr="00B163CC" w:rsidRDefault="000F79D3" w:rsidP="000F79D3">
            <w:pPr>
              <w:jc w:val="center"/>
              <w:rPr>
                <w:rFonts w:ascii="Times New Roman" w:eastAsia="標楷體" w:hAnsi="Times New Roman" w:cs="Times New Roman"/>
              </w:rPr>
            </w:pPr>
            <w:r w:rsidRPr="00B163CC">
              <w:rPr>
                <w:rFonts w:ascii="Times New Roman" w:eastAsia="標楷體" w:hAnsi="Times New Roman" w:cs="Times New Roman"/>
              </w:rPr>
              <w:t>台灣商業服務業景氣循環指標綜合指數</w:t>
            </w:r>
          </w:p>
          <w:tbl>
            <w:tblPr>
              <w:tblStyle w:val="ac"/>
              <w:tblW w:w="0" w:type="auto"/>
              <w:jc w:val="center"/>
              <w:tblInd w:w="0" w:type="dxa"/>
              <w:tblLayout w:type="fixed"/>
              <w:tblCellMar>
                <w:left w:w="28" w:type="dxa"/>
                <w:right w:w="28" w:type="dxa"/>
              </w:tblCellMar>
              <w:tblLook w:val="04A0" w:firstRow="1" w:lastRow="0" w:firstColumn="1" w:lastColumn="0" w:noHBand="0" w:noVBand="1"/>
            </w:tblPr>
            <w:tblGrid>
              <w:gridCol w:w="9214"/>
            </w:tblGrid>
            <w:tr w:rsidR="00943626" w:rsidRPr="00B163CC" w14:paraId="2C764488" w14:textId="77777777" w:rsidTr="00495049">
              <w:trPr>
                <w:jc w:val="center"/>
              </w:trPr>
              <w:tc>
                <w:tcPr>
                  <w:tcW w:w="9214" w:type="dxa"/>
                  <w:tcBorders>
                    <w:top w:val="single" w:sz="4" w:space="0" w:color="auto"/>
                  </w:tcBorders>
                </w:tcPr>
                <w:p w14:paraId="3523C86E" w14:textId="77777777" w:rsidR="00495049" w:rsidRPr="00B163CC" w:rsidRDefault="00E9399E" w:rsidP="00294C15">
                  <w:pPr>
                    <w:framePr w:hSpace="180" w:wrap="around" w:vAnchor="text" w:hAnchor="margin" w:xAlign="center" w:y="-35"/>
                    <w:snapToGrid w:val="0"/>
                    <w:jc w:val="center"/>
                    <w:rPr>
                      <w:rFonts w:ascii="Times New Roman" w:eastAsia="標楷體" w:hAnsi="Times New Roman" w:cs="Times New Roman"/>
                    </w:rPr>
                  </w:pPr>
                  <w:r w:rsidRPr="00B163CC">
                    <w:rPr>
                      <w:rFonts w:ascii="Times New Roman" w:eastAsia="標楷體" w:hAnsi="Times New Roman" w:cs="Times New Roman"/>
                      <w:noProof/>
                    </w:rPr>
                    <w:lastRenderedPageBreak/>
                    <w:drawing>
                      <wp:inline distT="0" distB="0" distL="0" distR="0" wp14:anchorId="1002FFF4" wp14:editId="5E21DF9F">
                        <wp:extent cx="5796000" cy="1999768"/>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6000" cy="1999768"/>
                                </a:xfrm>
                                <a:prstGeom prst="rect">
                                  <a:avLst/>
                                </a:prstGeom>
                                <a:noFill/>
                              </pic:spPr>
                            </pic:pic>
                          </a:graphicData>
                        </a:graphic>
                      </wp:inline>
                    </w:drawing>
                  </w:r>
                </w:p>
                <w:p w14:paraId="38CD0645" w14:textId="77777777" w:rsidR="00495049" w:rsidRPr="00B163CC" w:rsidRDefault="00E9399E" w:rsidP="00294C15">
                  <w:pPr>
                    <w:framePr w:hSpace="180" w:wrap="around" w:vAnchor="text" w:hAnchor="margin" w:xAlign="center" w:y="-35"/>
                    <w:snapToGrid w:val="0"/>
                    <w:jc w:val="center"/>
                    <w:rPr>
                      <w:rFonts w:ascii="Times New Roman" w:eastAsia="標楷體" w:hAnsi="Times New Roman" w:cs="Times New Roman"/>
                    </w:rPr>
                  </w:pPr>
                  <w:r w:rsidRPr="00B163CC">
                    <w:rPr>
                      <w:rFonts w:ascii="Times New Roman" w:eastAsia="標楷體" w:hAnsi="Times New Roman" w:cs="Times New Roman"/>
                      <w:noProof/>
                    </w:rPr>
                    <w:drawing>
                      <wp:inline distT="0" distB="0" distL="0" distR="0" wp14:anchorId="548CC880" wp14:editId="37F4CC5D">
                        <wp:extent cx="5796000" cy="2209851"/>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6000" cy="2209851"/>
                                </a:xfrm>
                                <a:prstGeom prst="rect">
                                  <a:avLst/>
                                </a:prstGeom>
                                <a:noFill/>
                              </pic:spPr>
                            </pic:pic>
                          </a:graphicData>
                        </a:graphic>
                      </wp:inline>
                    </w:drawing>
                  </w:r>
                </w:p>
              </w:tc>
            </w:tr>
          </w:tbl>
          <w:p w14:paraId="502FE97A" w14:textId="77777777" w:rsidR="000F79D3" w:rsidRPr="00B163CC" w:rsidRDefault="000F79D3" w:rsidP="00104418">
            <w:pPr>
              <w:jc w:val="center"/>
              <w:rPr>
                <w:rFonts w:ascii="Times New Roman" w:eastAsia="標楷體" w:hAnsi="Times New Roman" w:cs="Times New Roman"/>
                <w:szCs w:val="24"/>
              </w:rPr>
            </w:pPr>
            <w:r w:rsidRPr="00B163CC">
              <w:rPr>
                <w:rFonts w:ascii="Times New Roman" w:eastAsia="標楷體" w:hAnsi="Times New Roman" w:cs="Times New Roman"/>
                <w:szCs w:val="24"/>
              </w:rPr>
              <w:t>資料來源：商業發展研究院景氣循環預測小組</w:t>
            </w:r>
          </w:p>
          <w:p w14:paraId="591CBF84" w14:textId="77777777" w:rsidR="000F79D3" w:rsidRPr="00B163CC" w:rsidRDefault="000F79D3" w:rsidP="00FB785D">
            <w:pPr>
              <w:ind w:leftChars="220" w:left="528"/>
              <w:rPr>
                <w:rFonts w:ascii="Times New Roman" w:eastAsia="標楷體" w:hAnsi="Times New Roman" w:cs="Times New Roman"/>
                <w:szCs w:val="24"/>
              </w:rPr>
            </w:pPr>
            <w:r w:rsidRPr="00B163CC">
              <w:rPr>
                <w:rFonts w:ascii="Times New Roman" w:eastAsia="標楷體" w:hAnsi="Times New Roman" w:cs="Times New Roman"/>
                <w:szCs w:val="24"/>
              </w:rPr>
              <w:t>說明：</w:t>
            </w:r>
          </w:p>
          <w:p w14:paraId="3EEC0EC2" w14:textId="77777777" w:rsidR="000F79D3" w:rsidRPr="00B163CC" w:rsidRDefault="000F79D3" w:rsidP="00FB785D">
            <w:pPr>
              <w:pStyle w:val="a3"/>
              <w:numPr>
                <w:ilvl w:val="0"/>
                <w:numId w:val="7"/>
              </w:numPr>
              <w:spacing w:line="240" w:lineRule="auto"/>
              <w:ind w:leftChars="220" w:left="888"/>
              <w:rPr>
                <w:rFonts w:ascii="Times New Roman" w:eastAsia="標楷體" w:hAnsi="Times New Roman"/>
                <w:szCs w:val="24"/>
              </w:rPr>
            </w:pPr>
            <w:r w:rsidRPr="00B163CC">
              <w:rPr>
                <w:rFonts w:ascii="Times New Roman" w:eastAsia="標楷體" w:hAnsi="Times New Roman"/>
                <w:szCs w:val="24"/>
              </w:rPr>
              <w:t>景氣循環綜合指數為時間序列分析循環變動</w:t>
            </w:r>
            <w:r w:rsidRPr="00B163CC">
              <w:rPr>
                <w:rFonts w:ascii="Times New Roman" w:eastAsia="標楷體" w:hAnsi="Times New Roman"/>
                <w:szCs w:val="24"/>
              </w:rPr>
              <w:t>(C)</w:t>
            </w:r>
            <w:r w:rsidRPr="00B163CC">
              <w:rPr>
                <w:rFonts w:ascii="Times New Roman" w:eastAsia="標楷體" w:hAnsi="Times New Roman"/>
                <w:szCs w:val="24"/>
              </w:rPr>
              <w:t>對趨勢值</w:t>
            </w:r>
            <w:r w:rsidRPr="00B163CC">
              <w:rPr>
                <w:rFonts w:ascii="Times New Roman" w:eastAsia="標楷體" w:hAnsi="Times New Roman"/>
                <w:szCs w:val="24"/>
              </w:rPr>
              <w:t>(T)</w:t>
            </w:r>
            <w:r w:rsidRPr="00B163CC">
              <w:rPr>
                <w:rFonts w:ascii="Times New Roman" w:eastAsia="標楷體" w:hAnsi="Times New Roman"/>
                <w:szCs w:val="24"/>
              </w:rPr>
              <w:t>之百分比，</w:t>
            </w:r>
            <w:r w:rsidRPr="00B163CC">
              <w:rPr>
                <w:rFonts w:ascii="Times New Roman" w:eastAsia="標楷體" w:hAnsi="Times New Roman"/>
                <w:szCs w:val="24"/>
              </w:rPr>
              <w:t>T=100</w:t>
            </w:r>
            <w:r w:rsidRPr="00B163CC">
              <w:rPr>
                <w:rFonts w:ascii="Times New Roman" w:eastAsia="標楷體" w:hAnsi="Times New Roman"/>
                <w:szCs w:val="24"/>
              </w:rPr>
              <w:t>。</w:t>
            </w:r>
          </w:p>
          <w:p w14:paraId="00FF0039" w14:textId="77777777" w:rsidR="000F79D3" w:rsidRPr="00B163CC" w:rsidRDefault="000F79D3" w:rsidP="00FB785D">
            <w:pPr>
              <w:pStyle w:val="a3"/>
              <w:numPr>
                <w:ilvl w:val="0"/>
                <w:numId w:val="7"/>
              </w:numPr>
              <w:spacing w:line="240" w:lineRule="auto"/>
              <w:ind w:leftChars="220" w:left="888"/>
              <w:rPr>
                <w:rFonts w:ascii="Times New Roman" w:eastAsia="標楷體" w:hAnsi="Times New Roman"/>
                <w:szCs w:val="24"/>
              </w:rPr>
            </w:pPr>
            <w:r w:rsidRPr="00B163CC">
              <w:rPr>
                <w:rFonts w:ascii="Times New Roman" w:eastAsia="標楷體" w:hAnsi="Times New Roman"/>
                <w:szCs w:val="24"/>
              </w:rPr>
              <w:t>虛線部分為利用領先指標綜合指數對同行循環指標綜合指數所做的預測。</w:t>
            </w:r>
          </w:p>
          <w:p w14:paraId="51B832B8" w14:textId="77777777" w:rsidR="000F79D3" w:rsidRPr="00B163CC" w:rsidRDefault="000F79D3" w:rsidP="00FB785D">
            <w:pPr>
              <w:pStyle w:val="a3"/>
              <w:numPr>
                <w:ilvl w:val="0"/>
                <w:numId w:val="7"/>
              </w:numPr>
              <w:spacing w:line="240" w:lineRule="auto"/>
              <w:ind w:leftChars="220" w:left="888"/>
              <w:rPr>
                <w:rFonts w:ascii="Times New Roman" w:eastAsia="標楷體" w:hAnsi="Times New Roman"/>
                <w:szCs w:val="24"/>
              </w:rPr>
            </w:pPr>
            <w:r w:rsidRPr="00B163CC">
              <w:rPr>
                <w:rFonts w:ascii="Times New Roman" w:eastAsia="標楷體" w:hAnsi="Times New Roman"/>
                <w:szCs w:val="24"/>
              </w:rPr>
              <w:t>歷次循環</w:t>
            </w:r>
            <w:r w:rsidRPr="00B163CC">
              <w:rPr>
                <w:rFonts w:ascii="Times New Roman" w:eastAsia="標楷體" w:hAnsi="Times New Roman"/>
                <w:szCs w:val="24"/>
              </w:rPr>
              <w:t>:</w:t>
            </w:r>
          </w:p>
          <w:tbl>
            <w:tblPr>
              <w:tblStyle w:val="ac"/>
              <w:tblW w:w="0" w:type="auto"/>
              <w:jc w:val="center"/>
              <w:tblInd w:w="0" w:type="dxa"/>
              <w:tblLayout w:type="fixed"/>
              <w:tblLook w:val="04A0" w:firstRow="1" w:lastRow="0" w:firstColumn="1" w:lastColumn="0" w:noHBand="0" w:noVBand="1"/>
            </w:tblPr>
            <w:tblGrid>
              <w:gridCol w:w="2074"/>
              <w:gridCol w:w="2074"/>
              <w:gridCol w:w="2074"/>
              <w:gridCol w:w="2074"/>
            </w:tblGrid>
            <w:tr w:rsidR="000F79D3" w:rsidRPr="00B163CC" w14:paraId="169A088D" w14:textId="77777777" w:rsidTr="00104418">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14:paraId="227E9689"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循環</w:t>
                  </w:r>
                </w:p>
              </w:tc>
              <w:tc>
                <w:tcPr>
                  <w:tcW w:w="2074" w:type="dxa"/>
                  <w:tcBorders>
                    <w:top w:val="single" w:sz="4" w:space="0" w:color="auto"/>
                    <w:left w:val="single" w:sz="4" w:space="0" w:color="auto"/>
                    <w:bottom w:val="single" w:sz="4" w:space="0" w:color="auto"/>
                    <w:right w:val="single" w:sz="4" w:space="0" w:color="auto"/>
                  </w:tcBorders>
                  <w:vAlign w:val="center"/>
                  <w:hideMark/>
                </w:tcPr>
                <w:p w14:paraId="6D61D4F7"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Trough</w:t>
                  </w:r>
                </w:p>
                <w:p w14:paraId="5D3407B5"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底谷</w:t>
                  </w:r>
                </w:p>
              </w:tc>
              <w:tc>
                <w:tcPr>
                  <w:tcW w:w="2074" w:type="dxa"/>
                  <w:tcBorders>
                    <w:top w:val="single" w:sz="4" w:space="0" w:color="auto"/>
                    <w:left w:val="single" w:sz="4" w:space="0" w:color="auto"/>
                    <w:bottom w:val="single" w:sz="4" w:space="0" w:color="auto"/>
                    <w:right w:val="single" w:sz="4" w:space="0" w:color="auto"/>
                  </w:tcBorders>
                  <w:vAlign w:val="center"/>
                  <w:hideMark/>
                </w:tcPr>
                <w:p w14:paraId="30188DE3"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Peak</w:t>
                  </w:r>
                </w:p>
                <w:p w14:paraId="3907FCDB"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高峰</w:t>
                  </w:r>
                </w:p>
              </w:tc>
              <w:tc>
                <w:tcPr>
                  <w:tcW w:w="2074" w:type="dxa"/>
                  <w:tcBorders>
                    <w:top w:val="single" w:sz="4" w:space="0" w:color="auto"/>
                    <w:left w:val="single" w:sz="4" w:space="0" w:color="auto"/>
                    <w:bottom w:val="single" w:sz="4" w:space="0" w:color="auto"/>
                    <w:right w:val="single" w:sz="4" w:space="0" w:color="auto"/>
                  </w:tcBorders>
                  <w:vAlign w:val="center"/>
                  <w:hideMark/>
                </w:tcPr>
                <w:p w14:paraId="027C2AAA"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Trough</w:t>
                  </w:r>
                </w:p>
                <w:p w14:paraId="707D6BB6"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底谷</w:t>
                  </w:r>
                </w:p>
              </w:tc>
            </w:tr>
            <w:tr w:rsidR="000F79D3" w:rsidRPr="00B163CC" w14:paraId="06B58400" w14:textId="77777777" w:rsidTr="00104418">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14:paraId="2E46D520"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1</w:t>
                  </w:r>
                </w:p>
              </w:tc>
              <w:tc>
                <w:tcPr>
                  <w:tcW w:w="2074" w:type="dxa"/>
                  <w:tcBorders>
                    <w:top w:val="single" w:sz="4" w:space="0" w:color="auto"/>
                    <w:left w:val="single" w:sz="4" w:space="0" w:color="auto"/>
                    <w:bottom w:val="single" w:sz="4" w:space="0" w:color="auto"/>
                    <w:right w:val="single" w:sz="4" w:space="0" w:color="auto"/>
                  </w:tcBorders>
                  <w:vAlign w:val="center"/>
                  <w:hideMark/>
                </w:tcPr>
                <w:p w14:paraId="6E6B0689"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200</w:t>
                  </w:r>
                  <w:r w:rsidR="001717C5" w:rsidRPr="00B163CC">
                    <w:rPr>
                      <w:rFonts w:ascii="Times New Roman" w:eastAsia="標楷體" w:hAnsi="Times New Roman" w:cs="Times New Roman"/>
                      <w:sz w:val="20"/>
                      <w:lang w:eastAsia="zh-TW"/>
                    </w:rPr>
                    <w:t>3</w:t>
                  </w:r>
                  <w:r w:rsidRPr="00B163CC">
                    <w:rPr>
                      <w:rFonts w:ascii="Times New Roman" w:eastAsia="標楷體" w:hAnsi="Times New Roman" w:cs="Times New Roman"/>
                      <w:sz w:val="20"/>
                    </w:rPr>
                    <w:t>/</w:t>
                  </w:r>
                  <w:r w:rsidR="001717C5" w:rsidRPr="00B163CC">
                    <w:rPr>
                      <w:rFonts w:ascii="Times New Roman" w:eastAsia="標楷體" w:hAnsi="Times New Roman" w:cs="Times New Roman"/>
                      <w:sz w:val="20"/>
                      <w:lang w:eastAsia="zh-TW"/>
                    </w:rPr>
                    <w:t>7</w:t>
                  </w:r>
                </w:p>
              </w:tc>
              <w:tc>
                <w:tcPr>
                  <w:tcW w:w="2074" w:type="dxa"/>
                  <w:tcBorders>
                    <w:top w:val="single" w:sz="4" w:space="0" w:color="auto"/>
                    <w:left w:val="single" w:sz="4" w:space="0" w:color="auto"/>
                    <w:bottom w:val="single" w:sz="4" w:space="0" w:color="auto"/>
                    <w:right w:val="single" w:sz="4" w:space="0" w:color="auto"/>
                  </w:tcBorders>
                  <w:vAlign w:val="center"/>
                  <w:hideMark/>
                </w:tcPr>
                <w:p w14:paraId="1AE6B4C7"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2004/</w:t>
                  </w:r>
                  <w:r w:rsidR="001717C5" w:rsidRPr="00B163CC">
                    <w:rPr>
                      <w:rFonts w:ascii="Times New Roman" w:eastAsia="標楷體" w:hAnsi="Times New Roman" w:cs="Times New Roman"/>
                      <w:sz w:val="20"/>
                      <w:lang w:eastAsia="zh-TW"/>
                    </w:rPr>
                    <w:t>10</w:t>
                  </w:r>
                </w:p>
              </w:tc>
              <w:tc>
                <w:tcPr>
                  <w:tcW w:w="2074" w:type="dxa"/>
                  <w:tcBorders>
                    <w:top w:val="single" w:sz="4" w:space="0" w:color="auto"/>
                    <w:left w:val="single" w:sz="4" w:space="0" w:color="auto"/>
                    <w:bottom w:val="single" w:sz="4" w:space="0" w:color="auto"/>
                    <w:right w:val="single" w:sz="4" w:space="0" w:color="auto"/>
                  </w:tcBorders>
                  <w:vAlign w:val="center"/>
                  <w:hideMark/>
                </w:tcPr>
                <w:p w14:paraId="1FB1E546"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2005/3</w:t>
                  </w:r>
                </w:p>
              </w:tc>
            </w:tr>
            <w:tr w:rsidR="000F79D3" w:rsidRPr="00B163CC" w14:paraId="689EE337" w14:textId="77777777" w:rsidTr="00104418">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14:paraId="7C95B81B"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2</w:t>
                  </w:r>
                </w:p>
              </w:tc>
              <w:tc>
                <w:tcPr>
                  <w:tcW w:w="2074" w:type="dxa"/>
                  <w:tcBorders>
                    <w:top w:val="single" w:sz="4" w:space="0" w:color="auto"/>
                    <w:left w:val="single" w:sz="4" w:space="0" w:color="auto"/>
                    <w:bottom w:val="single" w:sz="4" w:space="0" w:color="auto"/>
                    <w:right w:val="single" w:sz="4" w:space="0" w:color="auto"/>
                  </w:tcBorders>
                  <w:vAlign w:val="center"/>
                  <w:hideMark/>
                </w:tcPr>
                <w:p w14:paraId="16C4E849"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2005/3</w:t>
                  </w:r>
                </w:p>
              </w:tc>
              <w:tc>
                <w:tcPr>
                  <w:tcW w:w="2074" w:type="dxa"/>
                  <w:tcBorders>
                    <w:top w:val="single" w:sz="4" w:space="0" w:color="auto"/>
                    <w:left w:val="single" w:sz="4" w:space="0" w:color="auto"/>
                    <w:bottom w:val="single" w:sz="4" w:space="0" w:color="auto"/>
                    <w:right w:val="single" w:sz="4" w:space="0" w:color="auto"/>
                  </w:tcBorders>
                  <w:vAlign w:val="center"/>
                  <w:hideMark/>
                </w:tcPr>
                <w:p w14:paraId="1B0FF165"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2008/3</w:t>
                  </w:r>
                </w:p>
              </w:tc>
              <w:tc>
                <w:tcPr>
                  <w:tcW w:w="2074" w:type="dxa"/>
                  <w:tcBorders>
                    <w:top w:val="single" w:sz="4" w:space="0" w:color="auto"/>
                    <w:left w:val="single" w:sz="4" w:space="0" w:color="auto"/>
                    <w:bottom w:val="single" w:sz="4" w:space="0" w:color="auto"/>
                    <w:right w:val="single" w:sz="4" w:space="0" w:color="auto"/>
                  </w:tcBorders>
                  <w:vAlign w:val="center"/>
                  <w:hideMark/>
                </w:tcPr>
                <w:p w14:paraId="4DAC5DFF"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2009/</w:t>
                  </w:r>
                  <w:r w:rsidR="001717C5" w:rsidRPr="00B163CC">
                    <w:rPr>
                      <w:rFonts w:ascii="Times New Roman" w:eastAsia="標楷體" w:hAnsi="Times New Roman" w:cs="Times New Roman"/>
                      <w:sz w:val="20"/>
                      <w:lang w:eastAsia="zh-TW"/>
                    </w:rPr>
                    <w:t>8</w:t>
                  </w:r>
                </w:p>
              </w:tc>
            </w:tr>
            <w:tr w:rsidR="000F79D3" w:rsidRPr="00B163CC" w14:paraId="6EFADCC9" w14:textId="77777777" w:rsidTr="00104418">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14:paraId="327F9E2E"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3</w:t>
                  </w:r>
                </w:p>
              </w:tc>
              <w:tc>
                <w:tcPr>
                  <w:tcW w:w="2074" w:type="dxa"/>
                  <w:tcBorders>
                    <w:top w:val="single" w:sz="4" w:space="0" w:color="auto"/>
                    <w:left w:val="single" w:sz="4" w:space="0" w:color="auto"/>
                    <w:bottom w:val="single" w:sz="4" w:space="0" w:color="auto"/>
                    <w:right w:val="single" w:sz="4" w:space="0" w:color="auto"/>
                  </w:tcBorders>
                  <w:vAlign w:val="center"/>
                  <w:hideMark/>
                </w:tcPr>
                <w:p w14:paraId="64E42572"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2009/</w:t>
                  </w:r>
                  <w:r w:rsidR="001717C5" w:rsidRPr="00B163CC">
                    <w:rPr>
                      <w:rFonts w:ascii="Times New Roman" w:eastAsia="標楷體" w:hAnsi="Times New Roman" w:cs="Times New Roman"/>
                      <w:sz w:val="20"/>
                      <w:lang w:eastAsia="zh-TW"/>
                    </w:rPr>
                    <w:t>8</w:t>
                  </w:r>
                </w:p>
              </w:tc>
              <w:tc>
                <w:tcPr>
                  <w:tcW w:w="2074" w:type="dxa"/>
                  <w:tcBorders>
                    <w:top w:val="single" w:sz="4" w:space="0" w:color="auto"/>
                    <w:left w:val="single" w:sz="4" w:space="0" w:color="auto"/>
                    <w:bottom w:val="single" w:sz="4" w:space="0" w:color="auto"/>
                    <w:right w:val="single" w:sz="4" w:space="0" w:color="auto"/>
                  </w:tcBorders>
                  <w:vAlign w:val="center"/>
                  <w:hideMark/>
                </w:tcPr>
                <w:p w14:paraId="1F7D8558"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2011/</w:t>
                  </w:r>
                  <w:r w:rsidR="001717C5" w:rsidRPr="00B163CC">
                    <w:rPr>
                      <w:rFonts w:ascii="Times New Roman" w:eastAsia="標楷體" w:hAnsi="Times New Roman" w:cs="Times New Roman"/>
                      <w:sz w:val="20"/>
                      <w:lang w:eastAsia="zh-TW"/>
                    </w:rPr>
                    <w:t>8</w:t>
                  </w:r>
                </w:p>
              </w:tc>
              <w:tc>
                <w:tcPr>
                  <w:tcW w:w="2074" w:type="dxa"/>
                  <w:tcBorders>
                    <w:top w:val="single" w:sz="4" w:space="0" w:color="auto"/>
                    <w:left w:val="single" w:sz="4" w:space="0" w:color="auto"/>
                    <w:bottom w:val="single" w:sz="4" w:space="0" w:color="auto"/>
                    <w:right w:val="single" w:sz="4" w:space="0" w:color="auto"/>
                  </w:tcBorders>
                  <w:vAlign w:val="center"/>
                  <w:hideMark/>
                </w:tcPr>
                <w:p w14:paraId="2D714F45"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2013/</w:t>
                  </w:r>
                  <w:r w:rsidR="00394BC7" w:rsidRPr="00B163CC">
                    <w:rPr>
                      <w:rFonts w:ascii="Times New Roman" w:eastAsia="標楷體" w:hAnsi="Times New Roman" w:cs="Times New Roman"/>
                      <w:sz w:val="20"/>
                      <w:lang w:eastAsia="zh-TW"/>
                    </w:rPr>
                    <w:t>7</w:t>
                  </w:r>
                </w:p>
              </w:tc>
            </w:tr>
            <w:tr w:rsidR="000F79D3" w:rsidRPr="00B163CC" w14:paraId="5008CEE1" w14:textId="77777777" w:rsidTr="00104418">
              <w:trPr>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14:paraId="28F4F93E"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4</w:t>
                  </w:r>
                </w:p>
              </w:tc>
              <w:tc>
                <w:tcPr>
                  <w:tcW w:w="2074" w:type="dxa"/>
                  <w:tcBorders>
                    <w:top w:val="single" w:sz="4" w:space="0" w:color="auto"/>
                    <w:left w:val="single" w:sz="4" w:space="0" w:color="auto"/>
                    <w:bottom w:val="single" w:sz="4" w:space="0" w:color="auto"/>
                    <w:right w:val="single" w:sz="4" w:space="0" w:color="auto"/>
                  </w:tcBorders>
                  <w:vAlign w:val="center"/>
                  <w:hideMark/>
                </w:tcPr>
                <w:p w14:paraId="590A7A7E"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2013/</w:t>
                  </w:r>
                  <w:r w:rsidR="00394BC7" w:rsidRPr="00B163CC">
                    <w:rPr>
                      <w:rFonts w:ascii="Times New Roman" w:eastAsia="標楷體" w:hAnsi="Times New Roman" w:cs="Times New Roman"/>
                      <w:sz w:val="20"/>
                      <w:lang w:eastAsia="zh-TW"/>
                    </w:rPr>
                    <w:t>7</w:t>
                  </w:r>
                </w:p>
              </w:tc>
              <w:tc>
                <w:tcPr>
                  <w:tcW w:w="2074" w:type="dxa"/>
                  <w:tcBorders>
                    <w:top w:val="single" w:sz="4" w:space="0" w:color="auto"/>
                    <w:left w:val="single" w:sz="4" w:space="0" w:color="auto"/>
                    <w:bottom w:val="single" w:sz="4" w:space="0" w:color="auto"/>
                    <w:right w:val="single" w:sz="4" w:space="0" w:color="auto"/>
                  </w:tcBorders>
                  <w:vAlign w:val="center"/>
                  <w:hideMark/>
                </w:tcPr>
                <w:p w14:paraId="020A0BBE"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2015/</w:t>
                  </w:r>
                  <w:r w:rsidR="00394BC7" w:rsidRPr="00B163CC">
                    <w:rPr>
                      <w:rFonts w:ascii="Times New Roman" w:eastAsia="標楷體" w:hAnsi="Times New Roman" w:cs="Times New Roman"/>
                      <w:sz w:val="20"/>
                      <w:lang w:eastAsia="zh-TW"/>
                    </w:rPr>
                    <w:t>2</w:t>
                  </w:r>
                </w:p>
              </w:tc>
              <w:tc>
                <w:tcPr>
                  <w:tcW w:w="2074" w:type="dxa"/>
                  <w:tcBorders>
                    <w:top w:val="single" w:sz="4" w:space="0" w:color="auto"/>
                    <w:left w:val="single" w:sz="4" w:space="0" w:color="auto"/>
                    <w:bottom w:val="single" w:sz="4" w:space="0" w:color="auto"/>
                    <w:right w:val="single" w:sz="4" w:space="0" w:color="auto"/>
                  </w:tcBorders>
                  <w:vAlign w:val="center"/>
                  <w:hideMark/>
                </w:tcPr>
                <w:p w14:paraId="567134F0" w14:textId="77777777" w:rsidR="000F79D3" w:rsidRPr="00B163CC" w:rsidRDefault="000F79D3" w:rsidP="00294C15">
                  <w:pPr>
                    <w:framePr w:hSpace="180" w:wrap="around" w:vAnchor="text" w:hAnchor="margin" w:xAlign="center" w:y="-35"/>
                    <w:jc w:val="center"/>
                    <w:rPr>
                      <w:rFonts w:ascii="Times New Roman" w:eastAsia="標楷體" w:hAnsi="Times New Roman" w:cs="Times New Roman"/>
                      <w:sz w:val="20"/>
                    </w:rPr>
                  </w:pPr>
                  <w:r w:rsidRPr="00B163CC">
                    <w:rPr>
                      <w:rFonts w:ascii="Times New Roman" w:eastAsia="標楷體" w:hAnsi="Times New Roman" w:cs="Times New Roman"/>
                      <w:sz w:val="20"/>
                    </w:rPr>
                    <w:t>2017/</w:t>
                  </w:r>
                  <w:r w:rsidR="00637EFF" w:rsidRPr="00B163CC">
                    <w:rPr>
                      <w:rFonts w:ascii="Times New Roman" w:eastAsia="標楷體" w:hAnsi="Times New Roman" w:cs="Times New Roman"/>
                      <w:sz w:val="20"/>
                      <w:lang w:eastAsia="zh-TW"/>
                    </w:rPr>
                    <w:t>4</w:t>
                  </w:r>
                </w:p>
              </w:tc>
            </w:tr>
          </w:tbl>
          <w:p w14:paraId="7CF56999" w14:textId="02C6AC97" w:rsidR="00666585" w:rsidRPr="00B163CC" w:rsidRDefault="00F12F2D" w:rsidP="009E5773">
            <w:pPr>
              <w:adjustRightInd w:val="0"/>
              <w:jc w:val="center"/>
              <w:rPr>
                <w:rFonts w:ascii="Times New Roman" w:eastAsia="標楷體" w:hAnsi="Times New Roman" w:cs="Times New Roman"/>
                <w:b/>
                <w:color w:val="0033CC"/>
                <w:sz w:val="28"/>
                <w:szCs w:val="28"/>
                <w:u w:val="single"/>
              </w:rPr>
            </w:pPr>
            <w:r w:rsidRPr="00B163CC">
              <w:rPr>
                <w:rFonts w:ascii="Times New Roman" w:eastAsia="標楷體" w:hAnsi="Times New Roman" w:cs="Times New Roman"/>
                <w:b/>
                <w:color w:val="FF0000"/>
                <w:sz w:val="28"/>
                <w:szCs w:val="28"/>
                <w:u w:val="single"/>
                <w:shd w:val="clear" w:color="auto" w:fill="FFFFFF"/>
              </w:rPr>
              <w:t xml:space="preserve">● </w:t>
            </w:r>
            <w:r w:rsidRPr="00B163CC">
              <w:rPr>
                <w:rFonts w:ascii="Times New Roman" w:eastAsia="標楷體" w:hAnsi="Times New Roman" w:cs="Times New Roman"/>
                <w:b/>
                <w:color w:val="FF0000"/>
                <w:sz w:val="28"/>
                <w:szCs w:val="28"/>
                <w:u w:val="single"/>
                <w:shd w:val="clear" w:color="auto" w:fill="FFFFFF"/>
              </w:rPr>
              <w:t>下月發佈日將訂於</w:t>
            </w:r>
            <w:r w:rsidR="002E0359" w:rsidRPr="00B163CC">
              <w:rPr>
                <w:rFonts w:ascii="Times New Roman" w:eastAsia="標楷體" w:hAnsi="Times New Roman" w:cs="Times New Roman"/>
                <w:b/>
                <w:color w:val="FF0000"/>
                <w:sz w:val="28"/>
                <w:szCs w:val="28"/>
                <w:u w:val="single"/>
                <w:shd w:val="clear" w:color="auto" w:fill="FFFFFF"/>
                <w:lang w:eastAsia="zh-CN"/>
              </w:rPr>
              <w:t>9</w:t>
            </w:r>
            <w:r w:rsidRPr="00B163CC">
              <w:rPr>
                <w:rFonts w:ascii="Times New Roman" w:eastAsia="標楷體" w:hAnsi="Times New Roman" w:cs="Times New Roman"/>
                <w:b/>
                <w:color w:val="FF0000"/>
                <w:sz w:val="28"/>
                <w:szCs w:val="28"/>
                <w:u w:val="single"/>
                <w:shd w:val="clear" w:color="auto" w:fill="FFFFFF"/>
              </w:rPr>
              <w:t>月</w:t>
            </w:r>
            <w:r w:rsidR="00B67F4F" w:rsidRPr="00B163CC">
              <w:rPr>
                <w:rFonts w:ascii="Times New Roman" w:eastAsia="標楷體" w:hAnsi="Times New Roman" w:cs="Times New Roman"/>
                <w:b/>
                <w:color w:val="FF0000"/>
                <w:sz w:val="28"/>
                <w:szCs w:val="28"/>
                <w:u w:val="single"/>
                <w:shd w:val="clear" w:color="auto" w:fill="FFFFFF"/>
                <w:lang w:eastAsia="zh-CN"/>
              </w:rPr>
              <w:t>4</w:t>
            </w:r>
            <w:r w:rsidRPr="00B163CC">
              <w:rPr>
                <w:rFonts w:ascii="Times New Roman" w:eastAsia="標楷體" w:hAnsi="Times New Roman" w:cs="Times New Roman"/>
                <w:b/>
                <w:color w:val="FF0000"/>
                <w:sz w:val="28"/>
                <w:szCs w:val="28"/>
                <w:u w:val="single"/>
                <w:shd w:val="clear" w:color="auto" w:fill="FFFFFF"/>
              </w:rPr>
              <w:t>日（</w:t>
            </w:r>
            <w:r w:rsidR="00B67F4F" w:rsidRPr="00B163CC">
              <w:rPr>
                <w:rFonts w:ascii="Times New Roman" w:eastAsia="標楷體" w:hAnsi="Times New Roman" w:cs="Times New Roman"/>
                <w:b/>
                <w:color w:val="FF0000"/>
                <w:sz w:val="28"/>
                <w:szCs w:val="28"/>
                <w:u w:val="single"/>
                <w:shd w:val="clear" w:color="auto" w:fill="FFFFFF"/>
              </w:rPr>
              <w:t>三</w:t>
            </w:r>
            <w:r w:rsidRPr="00B163CC">
              <w:rPr>
                <w:rFonts w:ascii="Times New Roman" w:eastAsia="標楷體" w:hAnsi="Times New Roman" w:cs="Times New Roman"/>
                <w:b/>
                <w:color w:val="FF0000"/>
                <w:sz w:val="28"/>
                <w:szCs w:val="28"/>
                <w:u w:val="single"/>
                <w:shd w:val="clear" w:color="auto" w:fill="FFFFFF"/>
              </w:rPr>
              <w:t>）上午</w:t>
            </w:r>
            <w:r w:rsidRPr="00B163CC">
              <w:rPr>
                <w:rFonts w:ascii="Times New Roman" w:eastAsia="標楷體" w:hAnsi="Times New Roman" w:cs="Times New Roman"/>
                <w:b/>
                <w:color w:val="FF0000"/>
                <w:sz w:val="28"/>
                <w:szCs w:val="28"/>
                <w:u w:val="single"/>
                <w:shd w:val="clear" w:color="auto" w:fill="FFFFFF"/>
              </w:rPr>
              <w:t>10</w:t>
            </w:r>
            <w:r w:rsidRPr="00B163CC">
              <w:rPr>
                <w:rFonts w:ascii="Times New Roman" w:eastAsia="標楷體" w:hAnsi="Times New Roman" w:cs="Times New Roman"/>
                <w:b/>
                <w:color w:val="FF0000"/>
                <w:sz w:val="28"/>
                <w:szCs w:val="28"/>
                <w:u w:val="single"/>
                <w:shd w:val="clear" w:color="auto" w:fill="FFFFFF"/>
              </w:rPr>
              <w:t>時</w:t>
            </w:r>
            <w:r w:rsidRPr="00B163CC">
              <w:rPr>
                <w:rFonts w:ascii="Times New Roman" w:eastAsia="標楷體" w:hAnsi="Times New Roman" w:cs="Times New Roman"/>
                <w:b/>
                <w:color w:val="FF0000"/>
                <w:sz w:val="28"/>
                <w:szCs w:val="28"/>
                <w:u w:val="single"/>
                <w:shd w:val="clear" w:color="auto" w:fill="FFFFFF"/>
              </w:rPr>
              <w:t>30</w:t>
            </w:r>
            <w:r w:rsidRPr="00B163CC">
              <w:rPr>
                <w:rFonts w:ascii="Times New Roman" w:eastAsia="標楷體" w:hAnsi="Times New Roman" w:cs="Times New Roman"/>
                <w:b/>
                <w:color w:val="FF0000"/>
                <w:sz w:val="28"/>
                <w:szCs w:val="28"/>
                <w:u w:val="single"/>
                <w:shd w:val="clear" w:color="auto" w:fill="FFFFFF"/>
              </w:rPr>
              <w:t>分</w:t>
            </w:r>
          </w:p>
        </w:tc>
      </w:tr>
    </w:tbl>
    <w:p w14:paraId="6CD44F33" w14:textId="77777777" w:rsidR="00983964" w:rsidRPr="00B163CC" w:rsidRDefault="00983964" w:rsidP="000F79D3">
      <w:pPr>
        <w:adjustRightInd w:val="0"/>
        <w:ind w:firstLineChars="200" w:firstLine="480"/>
        <w:jc w:val="both"/>
        <w:rPr>
          <w:rFonts w:ascii="Times New Roman" w:eastAsia="標楷體" w:hAnsi="Times New Roman" w:cs="Times New Roman"/>
        </w:rPr>
      </w:pPr>
    </w:p>
    <w:sectPr w:rsidR="00983964" w:rsidRPr="00B163C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9E6E9" w14:textId="77777777" w:rsidR="003E3232" w:rsidRDefault="003E3232" w:rsidP="00A32179">
      <w:r>
        <w:separator/>
      </w:r>
    </w:p>
  </w:endnote>
  <w:endnote w:type="continuationSeparator" w:id="0">
    <w:p w14:paraId="6C8FC1D8" w14:textId="77777777" w:rsidR="003E3232" w:rsidRDefault="003E3232" w:rsidP="00A3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B38F9" w14:textId="77777777" w:rsidR="003E3232" w:rsidRDefault="003E3232" w:rsidP="00A32179">
      <w:r>
        <w:separator/>
      </w:r>
    </w:p>
  </w:footnote>
  <w:footnote w:type="continuationSeparator" w:id="0">
    <w:p w14:paraId="0D410CF5" w14:textId="77777777" w:rsidR="003E3232" w:rsidRDefault="003E3232" w:rsidP="00A32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3FBF"/>
    <w:multiLevelType w:val="hybridMultilevel"/>
    <w:tmpl w:val="64CEB2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18519F"/>
    <w:multiLevelType w:val="hybridMultilevel"/>
    <w:tmpl w:val="2744EA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44F6F73"/>
    <w:multiLevelType w:val="hybridMultilevel"/>
    <w:tmpl w:val="B3623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CB4733"/>
    <w:multiLevelType w:val="hybridMultilevel"/>
    <w:tmpl w:val="9C96D536"/>
    <w:lvl w:ilvl="0" w:tplc="17081778">
      <w:start w:val="1"/>
      <w:numFmt w:val="decimal"/>
      <w:lvlText w:val="%1."/>
      <w:lvlJc w:val="left"/>
      <w:pPr>
        <w:ind w:left="926" w:hanging="36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4" w15:restartNumberingAfterBreak="0">
    <w:nsid w:val="40617DDC"/>
    <w:multiLevelType w:val="hybridMultilevel"/>
    <w:tmpl w:val="C45ECED6"/>
    <w:lvl w:ilvl="0" w:tplc="8CCCD374">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B1A7238"/>
    <w:multiLevelType w:val="hybridMultilevel"/>
    <w:tmpl w:val="4EF444AC"/>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15:restartNumberingAfterBreak="0">
    <w:nsid w:val="52380166"/>
    <w:multiLevelType w:val="hybridMultilevel"/>
    <w:tmpl w:val="CE32CD94"/>
    <w:lvl w:ilvl="0" w:tplc="C22A3E42">
      <w:start w:val="5"/>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19559C2"/>
    <w:multiLevelType w:val="hybridMultilevel"/>
    <w:tmpl w:val="F33E2D0A"/>
    <w:lvl w:ilvl="0" w:tplc="41D4EA16">
      <w:start w:val="1"/>
      <w:numFmt w:val="decimal"/>
      <w:lvlText w:val="%1."/>
      <w:lvlJc w:val="left"/>
      <w:pPr>
        <w:ind w:left="1048" w:hanging="480"/>
      </w:pPr>
      <w:rPr>
        <w:rFonts w:hint="eastAsia"/>
        <w:b w:val="0"/>
        <w:color w:val="auto"/>
        <w:sz w:val="28"/>
        <w:szCs w:val="22"/>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8" w15:restartNumberingAfterBreak="0">
    <w:nsid w:val="6547215A"/>
    <w:multiLevelType w:val="hybridMultilevel"/>
    <w:tmpl w:val="669612E4"/>
    <w:lvl w:ilvl="0" w:tplc="952654BE">
      <w:start w:val="1"/>
      <w:numFmt w:val="decimal"/>
      <w:lvlText w:val="%1."/>
      <w:lvlJc w:val="left"/>
      <w:pPr>
        <w:ind w:left="720" w:hanging="480"/>
      </w:pPr>
      <w:rPr>
        <w:rFonts w:hint="eastAsia"/>
        <w:sz w:val="28"/>
        <w:szCs w:val="22"/>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7B426D68"/>
    <w:multiLevelType w:val="hybridMultilevel"/>
    <w:tmpl w:val="06B6B3DE"/>
    <w:lvl w:ilvl="0" w:tplc="FFFFFFFF">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8"/>
  </w:num>
  <w:num w:numId="2">
    <w:abstractNumId w:val="0"/>
  </w:num>
  <w:num w:numId="3">
    <w:abstractNumId w:val="2"/>
  </w:num>
  <w:num w:numId="4">
    <w:abstractNumId w:val="1"/>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809"/>
    <w:rsid w:val="00001FC2"/>
    <w:rsid w:val="00002420"/>
    <w:rsid w:val="00002E4F"/>
    <w:rsid w:val="000049AF"/>
    <w:rsid w:val="00004C13"/>
    <w:rsid w:val="00005D69"/>
    <w:rsid w:val="00006001"/>
    <w:rsid w:val="00006CB8"/>
    <w:rsid w:val="0000718C"/>
    <w:rsid w:val="000071C8"/>
    <w:rsid w:val="00010EF9"/>
    <w:rsid w:val="00011761"/>
    <w:rsid w:val="00021DBA"/>
    <w:rsid w:val="00023513"/>
    <w:rsid w:val="000251B9"/>
    <w:rsid w:val="000276CA"/>
    <w:rsid w:val="000306B0"/>
    <w:rsid w:val="00030801"/>
    <w:rsid w:val="00031322"/>
    <w:rsid w:val="0003451A"/>
    <w:rsid w:val="000345BE"/>
    <w:rsid w:val="0003514B"/>
    <w:rsid w:val="00035934"/>
    <w:rsid w:val="00035EBE"/>
    <w:rsid w:val="00035EF2"/>
    <w:rsid w:val="00041836"/>
    <w:rsid w:val="00041CB1"/>
    <w:rsid w:val="000421FC"/>
    <w:rsid w:val="0004264B"/>
    <w:rsid w:val="00045DEE"/>
    <w:rsid w:val="00046556"/>
    <w:rsid w:val="000505E2"/>
    <w:rsid w:val="00051087"/>
    <w:rsid w:val="00051AD7"/>
    <w:rsid w:val="000554E3"/>
    <w:rsid w:val="00056013"/>
    <w:rsid w:val="0005642E"/>
    <w:rsid w:val="000577A3"/>
    <w:rsid w:val="00060BCC"/>
    <w:rsid w:val="0006164C"/>
    <w:rsid w:val="00061FBA"/>
    <w:rsid w:val="000661DA"/>
    <w:rsid w:val="000666A5"/>
    <w:rsid w:val="0006779A"/>
    <w:rsid w:val="0007109C"/>
    <w:rsid w:val="000716D4"/>
    <w:rsid w:val="00085A6C"/>
    <w:rsid w:val="00086088"/>
    <w:rsid w:val="000908C1"/>
    <w:rsid w:val="000908FA"/>
    <w:rsid w:val="00091EED"/>
    <w:rsid w:val="00092225"/>
    <w:rsid w:val="000940A2"/>
    <w:rsid w:val="000950D4"/>
    <w:rsid w:val="00096DB1"/>
    <w:rsid w:val="0009729B"/>
    <w:rsid w:val="000A0330"/>
    <w:rsid w:val="000A1076"/>
    <w:rsid w:val="000A3466"/>
    <w:rsid w:val="000A35A8"/>
    <w:rsid w:val="000A71BC"/>
    <w:rsid w:val="000B0A2B"/>
    <w:rsid w:val="000B0B08"/>
    <w:rsid w:val="000B391B"/>
    <w:rsid w:val="000B7628"/>
    <w:rsid w:val="000C04EE"/>
    <w:rsid w:val="000C081D"/>
    <w:rsid w:val="000C3A11"/>
    <w:rsid w:val="000C3D10"/>
    <w:rsid w:val="000C442F"/>
    <w:rsid w:val="000C70C8"/>
    <w:rsid w:val="000C748B"/>
    <w:rsid w:val="000C7812"/>
    <w:rsid w:val="000C7F6F"/>
    <w:rsid w:val="000D1039"/>
    <w:rsid w:val="000D1EDE"/>
    <w:rsid w:val="000D305E"/>
    <w:rsid w:val="000D43C6"/>
    <w:rsid w:val="000D57E2"/>
    <w:rsid w:val="000D60EB"/>
    <w:rsid w:val="000D6660"/>
    <w:rsid w:val="000D66EA"/>
    <w:rsid w:val="000D6A85"/>
    <w:rsid w:val="000E1B22"/>
    <w:rsid w:val="000E3620"/>
    <w:rsid w:val="000E738E"/>
    <w:rsid w:val="000E74E0"/>
    <w:rsid w:val="000F0C3E"/>
    <w:rsid w:val="000F1281"/>
    <w:rsid w:val="000F2123"/>
    <w:rsid w:val="000F4614"/>
    <w:rsid w:val="000F6E92"/>
    <w:rsid w:val="000F7792"/>
    <w:rsid w:val="000F79D3"/>
    <w:rsid w:val="000F7D42"/>
    <w:rsid w:val="00100C85"/>
    <w:rsid w:val="00102093"/>
    <w:rsid w:val="00104418"/>
    <w:rsid w:val="00105942"/>
    <w:rsid w:val="00107067"/>
    <w:rsid w:val="0010754A"/>
    <w:rsid w:val="001133C5"/>
    <w:rsid w:val="00115AD2"/>
    <w:rsid w:val="00122A89"/>
    <w:rsid w:val="00124182"/>
    <w:rsid w:val="00125902"/>
    <w:rsid w:val="001268B6"/>
    <w:rsid w:val="0012700D"/>
    <w:rsid w:val="0012735B"/>
    <w:rsid w:val="00130F2B"/>
    <w:rsid w:val="00136D1A"/>
    <w:rsid w:val="00136FA3"/>
    <w:rsid w:val="00141515"/>
    <w:rsid w:val="0014441D"/>
    <w:rsid w:val="00154DFA"/>
    <w:rsid w:val="001569F6"/>
    <w:rsid w:val="00157674"/>
    <w:rsid w:val="00160D72"/>
    <w:rsid w:val="0016193D"/>
    <w:rsid w:val="0016346F"/>
    <w:rsid w:val="001637CE"/>
    <w:rsid w:val="001661D1"/>
    <w:rsid w:val="0016649D"/>
    <w:rsid w:val="00167245"/>
    <w:rsid w:val="001717C5"/>
    <w:rsid w:val="001801D5"/>
    <w:rsid w:val="00180FCA"/>
    <w:rsid w:val="00181AD6"/>
    <w:rsid w:val="00181D23"/>
    <w:rsid w:val="0018262D"/>
    <w:rsid w:val="00182ACC"/>
    <w:rsid w:val="00183479"/>
    <w:rsid w:val="0018402D"/>
    <w:rsid w:val="00184F3D"/>
    <w:rsid w:val="0019125B"/>
    <w:rsid w:val="0019499E"/>
    <w:rsid w:val="00194B13"/>
    <w:rsid w:val="0019558B"/>
    <w:rsid w:val="00196540"/>
    <w:rsid w:val="001978F2"/>
    <w:rsid w:val="001A0D46"/>
    <w:rsid w:val="001A1C6E"/>
    <w:rsid w:val="001A1FD2"/>
    <w:rsid w:val="001A5641"/>
    <w:rsid w:val="001A75AE"/>
    <w:rsid w:val="001B3885"/>
    <w:rsid w:val="001B410A"/>
    <w:rsid w:val="001B7BAC"/>
    <w:rsid w:val="001B7E92"/>
    <w:rsid w:val="001C2E54"/>
    <w:rsid w:val="001C2F5A"/>
    <w:rsid w:val="001C36DA"/>
    <w:rsid w:val="001C3996"/>
    <w:rsid w:val="001C594D"/>
    <w:rsid w:val="001C62C6"/>
    <w:rsid w:val="001C6C00"/>
    <w:rsid w:val="001D6E28"/>
    <w:rsid w:val="001D7B8C"/>
    <w:rsid w:val="001E2363"/>
    <w:rsid w:val="001E5A1C"/>
    <w:rsid w:val="001E5C6A"/>
    <w:rsid w:val="001E74D7"/>
    <w:rsid w:val="001F3010"/>
    <w:rsid w:val="001F3661"/>
    <w:rsid w:val="001F3C25"/>
    <w:rsid w:val="001F4A95"/>
    <w:rsid w:val="001F6C8C"/>
    <w:rsid w:val="001F74E8"/>
    <w:rsid w:val="001F76A1"/>
    <w:rsid w:val="001F7EEB"/>
    <w:rsid w:val="00201D67"/>
    <w:rsid w:val="00204CA6"/>
    <w:rsid w:val="00205425"/>
    <w:rsid w:val="00206A10"/>
    <w:rsid w:val="00207740"/>
    <w:rsid w:val="00210017"/>
    <w:rsid w:val="002106D5"/>
    <w:rsid w:val="00212ACC"/>
    <w:rsid w:val="00214DE9"/>
    <w:rsid w:val="00221A56"/>
    <w:rsid w:val="00226B2A"/>
    <w:rsid w:val="00230096"/>
    <w:rsid w:val="00230E47"/>
    <w:rsid w:val="00236637"/>
    <w:rsid w:val="00237933"/>
    <w:rsid w:val="00241DB6"/>
    <w:rsid w:val="002424E8"/>
    <w:rsid w:val="002427AD"/>
    <w:rsid w:val="002437A1"/>
    <w:rsid w:val="00245F5D"/>
    <w:rsid w:val="002469CE"/>
    <w:rsid w:val="00247863"/>
    <w:rsid w:val="00253E4A"/>
    <w:rsid w:val="00253F2C"/>
    <w:rsid w:val="002548D3"/>
    <w:rsid w:val="00256260"/>
    <w:rsid w:val="00256878"/>
    <w:rsid w:val="00260B03"/>
    <w:rsid w:val="00260D2F"/>
    <w:rsid w:val="0026250A"/>
    <w:rsid w:val="00263013"/>
    <w:rsid w:val="00263622"/>
    <w:rsid w:val="00263F74"/>
    <w:rsid w:val="00270316"/>
    <w:rsid w:val="002726BB"/>
    <w:rsid w:val="002731E9"/>
    <w:rsid w:val="00275329"/>
    <w:rsid w:val="002772EB"/>
    <w:rsid w:val="00280237"/>
    <w:rsid w:val="00280F15"/>
    <w:rsid w:val="002810F8"/>
    <w:rsid w:val="002822E5"/>
    <w:rsid w:val="0028262E"/>
    <w:rsid w:val="00284B00"/>
    <w:rsid w:val="0028592B"/>
    <w:rsid w:val="002867CC"/>
    <w:rsid w:val="00286839"/>
    <w:rsid w:val="00290250"/>
    <w:rsid w:val="00292071"/>
    <w:rsid w:val="00294C15"/>
    <w:rsid w:val="00295763"/>
    <w:rsid w:val="00296753"/>
    <w:rsid w:val="00296DFE"/>
    <w:rsid w:val="002A06C3"/>
    <w:rsid w:val="002A1441"/>
    <w:rsid w:val="002A16AB"/>
    <w:rsid w:val="002A1C51"/>
    <w:rsid w:val="002A1E67"/>
    <w:rsid w:val="002A2490"/>
    <w:rsid w:val="002A34AA"/>
    <w:rsid w:val="002A6942"/>
    <w:rsid w:val="002B3663"/>
    <w:rsid w:val="002B6327"/>
    <w:rsid w:val="002C12E1"/>
    <w:rsid w:val="002C295B"/>
    <w:rsid w:val="002C2E03"/>
    <w:rsid w:val="002C5891"/>
    <w:rsid w:val="002C5D36"/>
    <w:rsid w:val="002C616C"/>
    <w:rsid w:val="002D1B24"/>
    <w:rsid w:val="002D2E87"/>
    <w:rsid w:val="002D32EA"/>
    <w:rsid w:val="002D6DA1"/>
    <w:rsid w:val="002E0359"/>
    <w:rsid w:val="002E0609"/>
    <w:rsid w:val="002E5B9F"/>
    <w:rsid w:val="002F192C"/>
    <w:rsid w:val="002F2211"/>
    <w:rsid w:val="002F3EC0"/>
    <w:rsid w:val="002F476C"/>
    <w:rsid w:val="002F6005"/>
    <w:rsid w:val="00301A3E"/>
    <w:rsid w:val="00311C9B"/>
    <w:rsid w:val="00314353"/>
    <w:rsid w:val="00315258"/>
    <w:rsid w:val="00315EB6"/>
    <w:rsid w:val="003170B0"/>
    <w:rsid w:val="00317428"/>
    <w:rsid w:val="00320CF3"/>
    <w:rsid w:val="00321955"/>
    <w:rsid w:val="00322CF5"/>
    <w:rsid w:val="00325809"/>
    <w:rsid w:val="0032623A"/>
    <w:rsid w:val="0032791B"/>
    <w:rsid w:val="003315B7"/>
    <w:rsid w:val="00335025"/>
    <w:rsid w:val="00336D45"/>
    <w:rsid w:val="00337BF1"/>
    <w:rsid w:val="00342B42"/>
    <w:rsid w:val="003447E0"/>
    <w:rsid w:val="00345CB6"/>
    <w:rsid w:val="00347825"/>
    <w:rsid w:val="00353981"/>
    <w:rsid w:val="00354BD0"/>
    <w:rsid w:val="00354FAC"/>
    <w:rsid w:val="003621E6"/>
    <w:rsid w:val="00363727"/>
    <w:rsid w:val="00365340"/>
    <w:rsid w:val="00365FF5"/>
    <w:rsid w:val="00366848"/>
    <w:rsid w:val="0037181E"/>
    <w:rsid w:val="00374D95"/>
    <w:rsid w:val="00375706"/>
    <w:rsid w:val="00394BC7"/>
    <w:rsid w:val="00395294"/>
    <w:rsid w:val="003958FF"/>
    <w:rsid w:val="00396467"/>
    <w:rsid w:val="003A070C"/>
    <w:rsid w:val="003A5BAE"/>
    <w:rsid w:val="003A5FFC"/>
    <w:rsid w:val="003A6895"/>
    <w:rsid w:val="003B1BEB"/>
    <w:rsid w:val="003B32B5"/>
    <w:rsid w:val="003B71AF"/>
    <w:rsid w:val="003C3EB1"/>
    <w:rsid w:val="003C7EAA"/>
    <w:rsid w:val="003D088F"/>
    <w:rsid w:val="003D2329"/>
    <w:rsid w:val="003D3F80"/>
    <w:rsid w:val="003D5719"/>
    <w:rsid w:val="003D5C81"/>
    <w:rsid w:val="003E2748"/>
    <w:rsid w:val="003E2BE9"/>
    <w:rsid w:val="003E3232"/>
    <w:rsid w:val="003E5A24"/>
    <w:rsid w:val="003E682D"/>
    <w:rsid w:val="003E737C"/>
    <w:rsid w:val="003F36D4"/>
    <w:rsid w:val="003F6975"/>
    <w:rsid w:val="0040316E"/>
    <w:rsid w:val="00406765"/>
    <w:rsid w:val="004109DC"/>
    <w:rsid w:val="00411C08"/>
    <w:rsid w:val="00414AAC"/>
    <w:rsid w:val="00415AEC"/>
    <w:rsid w:val="00417E19"/>
    <w:rsid w:val="00424D8D"/>
    <w:rsid w:val="0042562E"/>
    <w:rsid w:val="00426FB8"/>
    <w:rsid w:val="00431A2D"/>
    <w:rsid w:val="0043272E"/>
    <w:rsid w:val="00432EDF"/>
    <w:rsid w:val="00433461"/>
    <w:rsid w:val="004339FC"/>
    <w:rsid w:val="00434099"/>
    <w:rsid w:val="00435E7A"/>
    <w:rsid w:val="00437E25"/>
    <w:rsid w:val="0044070B"/>
    <w:rsid w:val="004412F8"/>
    <w:rsid w:val="00442F22"/>
    <w:rsid w:val="0044556C"/>
    <w:rsid w:val="00445907"/>
    <w:rsid w:val="00446F67"/>
    <w:rsid w:val="004474C9"/>
    <w:rsid w:val="00447D7D"/>
    <w:rsid w:val="00451793"/>
    <w:rsid w:val="0045515E"/>
    <w:rsid w:val="00455B4A"/>
    <w:rsid w:val="00457332"/>
    <w:rsid w:val="0045734E"/>
    <w:rsid w:val="00457F28"/>
    <w:rsid w:val="00463690"/>
    <w:rsid w:val="004641EE"/>
    <w:rsid w:val="00464E2D"/>
    <w:rsid w:val="00465E04"/>
    <w:rsid w:val="004664DA"/>
    <w:rsid w:val="0046727D"/>
    <w:rsid w:val="00467D1C"/>
    <w:rsid w:val="00472CB7"/>
    <w:rsid w:val="0047478F"/>
    <w:rsid w:val="00477769"/>
    <w:rsid w:val="004910B8"/>
    <w:rsid w:val="00491F1D"/>
    <w:rsid w:val="00492B94"/>
    <w:rsid w:val="00493ED5"/>
    <w:rsid w:val="00495049"/>
    <w:rsid w:val="004A259F"/>
    <w:rsid w:val="004A272A"/>
    <w:rsid w:val="004A677C"/>
    <w:rsid w:val="004A6C74"/>
    <w:rsid w:val="004A754B"/>
    <w:rsid w:val="004B192F"/>
    <w:rsid w:val="004B3624"/>
    <w:rsid w:val="004C13AE"/>
    <w:rsid w:val="004C4AA1"/>
    <w:rsid w:val="004C6BFC"/>
    <w:rsid w:val="004C7EF6"/>
    <w:rsid w:val="004D2CD6"/>
    <w:rsid w:val="004D2F3B"/>
    <w:rsid w:val="004D5EFC"/>
    <w:rsid w:val="004E0442"/>
    <w:rsid w:val="004E15AB"/>
    <w:rsid w:val="004E29D8"/>
    <w:rsid w:val="004E332B"/>
    <w:rsid w:val="004E41CB"/>
    <w:rsid w:val="004E5D3B"/>
    <w:rsid w:val="004E6FFC"/>
    <w:rsid w:val="004F1785"/>
    <w:rsid w:val="004F41E9"/>
    <w:rsid w:val="004F51D0"/>
    <w:rsid w:val="004F6B3A"/>
    <w:rsid w:val="00500B00"/>
    <w:rsid w:val="00500C5B"/>
    <w:rsid w:val="00505C1C"/>
    <w:rsid w:val="00506D34"/>
    <w:rsid w:val="005162D8"/>
    <w:rsid w:val="00517A65"/>
    <w:rsid w:val="005225D3"/>
    <w:rsid w:val="0052567B"/>
    <w:rsid w:val="00531738"/>
    <w:rsid w:val="005333F0"/>
    <w:rsid w:val="0053521C"/>
    <w:rsid w:val="00535FAB"/>
    <w:rsid w:val="00537B42"/>
    <w:rsid w:val="00540B22"/>
    <w:rsid w:val="00541DB4"/>
    <w:rsid w:val="00542E01"/>
    <w:rsid w:val="0054522A"/>
    <w:rsid w:val="005452A3"/>
    <w:rsid w:val="00555270"/>
    <w:rsid w:val="00556EB9"/>
    <w:rsid w:val="0056159A"/>
    <w:rsid w:val="005619D0"/>
    <w:rsid w:val="0056424A"/>
    <w:rsid w:val="00565E47"/>
    <w:rsid w:val="00567AFC"/>
    <w:rsid w:val="0057420F"/>
    <w:rsid w:val="00574533"/>
    <w:rsid w:val="00575F1B"/>
    <w:rsid w:val="00576199"/>
    <w:rsid w:val="00585F65"/>
    <w:rsid w:val="00586D57"/>
    <w:rsid w:val="005931B7"/>
    <w:rsid w:val="005A0D3A"/>
    <w:rsid w:val="005A44FB"/>
    <w:rsid w:val="005A4C03"/>
    <w:rsid w:val="005A5A3A"/>
    <w:rsid w:val="005A5F82"/>
    <w:rsid w:val="005B1752"/>
    <w:rsid w:val="005B2465"/>
    <w:rsid w:val="005B2574"/>
    <w:rsid w:val="005B38B0"/>
    <w:rsid w:val="005B395B"/>
    <w:rsid w:val="005B632F"/>
    <w:rsid w:val="005C1563"/>
    <w:rsid w:val="005C58EE"/>
    <w:rsid w:val="005C5AB5"/>
    <w:rsid w:val="005D0445"/>
    <w:rsid w:val="005D083D"/>
    <w:rsid w:val="005D2BD7"/>
    <w:rsid w:val="005D4D0A"/>
    <w:rsid w:val="005D4F63"/>
    <w:rsid w:val="005D532C"/>
    <w:rsid w:val="005E1C8B"/>
    <w:rsid w:val="005E3110"/>
    <w:rsid w:val="005E3E2B"/>
    <w:rsid w:val="005F1599"/>
    <w:rsid w:val="005F40D1"/>
    <w:rsid w:val="005F7204"/>
    <w:rsid w:val="0060077D"/>
    <w:rsid w:val="006025F8"/>
    <w:rsid w:val="00603E2A"/>
    <w:rsid w:val="006078BF"/>
    <w:rsid w:val="006103FD"/>
    <w:rsid w:val="006115F0"/>
    <w:rsid w:val="00611F98"/>
    <w:rsid w:val="00615627"/>
    <w:rsid w:val="0061659B"/>
    <w:rsid w:val="006166BC"/>
    <w:rsid w:val="00617303"/>
    <w:rsid w:val="00620718"/>
    <w:rsid w:val="00620A4A"/>
    <w:rsid w:val="00620CE1"/>
    <w:rsid w:val="00622928"/>
    <w:rsid w:val="00622FB2"/>
    <w:rsid w:val="006235DF"/>
    <w:rsid w:val="00623BA7"/>
    <w:rsid w:val="00633CF8"/>
    <w:rsid w:val="00636271"/>
    <w:rsid w:val="00636B32"/>
    <w:rsid w:val="00637070"/>
    <w:rsid w:val="00637EFF"/>
    <w:rsid w:val="00640C51"/>
    <w:rsid w:val="006443C1"/>
    <w:rsid w:val="006447B9"/>
    <w:rsid w:val="006458B5"/>
    <w:rsid w:val="006467CC"/>
    <w:rsid w:val="00650092"/>
    <w:rsid w:val="006506FA"/>
    <w:rsid w:val="00652DC1"/>
    <w:rsid w:val="00655541"/>
    <w:rsid w:val="00655884"/>
    <w:rsid w:val="0066134F"/>
    <w:rsid w:val="00663E2F"/>
    <w:rsid w:val="0066529D"/>
    <w:rsid w:val="00666585"/>
    <w:rsid w:val="00673D11"/>
    <w:rsid w:val="00673DF9"/>
    <w:rsid w:val="00674FC3"/>
    <w:rsid w:val="00675DC7"/>
    <w:rsid w:val="0068098E"/>
    <w:rsid w:val="006814DC"/>
    <w:rsid w:val="0068156A"/>
    <w:rsid w:val="00686493"/>
    <w:rsid w:val="0068659E"/>
    <w:rsid w:val="0068714B"/>
    <w:rsid w:val="00693F1D"/>
    <w:rsid w:val="0069430F"/>
    <w:rsid w:val="00695C34"/>
    <w:rsid w:val="0069709D"/>
    <w:rsid w:val="00697B6E"/>
    <w:rsid w:val="006A3AE3"/>
    <w:rsid w:val="006A5CF8"/>
    <w:rsid w:val="006A6255"/>
    <w:rsid w:val="006B4447"/>
    <w:rsid w:val="006B4665"/>
    <w:rsid w:val="006C093F"/>
    <w:rsid w:val="006C111F"/>
    <w:rsid w:val="006C285E"/>
    <w:rsid w:val="006C2F29"/>
    <w:rsid w:val="006C4FB5"/>
    <w:rsid w:val="006C5224"/>
    <w:rsid w:val="006C72E1"/>
    <w:rsid w:val="006D2136"/>
    <w:rsid w:val="006D2385"/>
    <w:rsid w:val="006D5885"/>
    <w:rsid w:val="006D5E5C"/>
    <w:rsid w:val="006D7E67"/>
    <w:rsid w:val="006E077A"/>
    <w:rsid w:val="006E15F8"/>
    <w:rsid w:val="006E1963"/>
    <w:rsid w:val="006E2431"/>
    <w:rsid w:val="006E309B"/>
    <w:rsid w:val="006E49A8"/>
    <w:rsid w:val="006E4A51"/>
    <w:rsid w:val="006E6577"/>
    <w:rsid w:val="006E7C2E"/>
    <w:rsid w:val="006F0F9E"/>
    <w:rsid w:val="006F12EC"/>
    <w:rsid w:val="006F31B4"/>
    <w:rsid w:val="006F3821"/>
    <w:rsid w:val="006F446B"/>
    <w:rsid w:val="006F4601"/>
    <w:rsid w:val="006F515C"/>
    <w:rsid w:val="007005AC"/>
    <w:rsid w:val="007010FF"/>
    <w:rsid w:val="007018BF"/>
    <w:rsid w:val="007031C9"/>
    <w:rsid w:val="00703231"/>
    <w:rsid w:val="007041B2"/>
    <w:rsid w:val="00704A4E"/>
    <w:rsid w:val="007067D9"/>
    <w:rsid w:val="00707BEC"/>
    <w:rsid w:val="00711C5D"/>
    <w:rsid w:val="00714447"/>
    <w:rsid w:val="00715732"/>
    <w:rsid w:val="00715D0D"/>
    <w:rsid w:val="00715EB8"/>
    <w:rsid w:val="007202E1"/>
    <w:rsid w:val="0072307C"/>
    <w:rsid w:val="00725E36"/>
    <w:rsid w:val="00730E6A"/>
    <w:rsid w:val="00736FEA"/>
    <w:rsid w:val="007372FC"/>
    <w:rsid w:val="0074020F"/>
    <w:rsid w:val="00740225"/>
    <w:rsid w:val="007430C4"/>
    <w:rsid w:val="0074377E"/>
    <w:rsid w:val="00745CB5"/>
    <w:rsid w:val="00747118"/>
    <w:rsid w:val="00750934"/>
    <w:rsid w:val="007536EB"/>
    <w:rsid w:val="00755006"/>
    <w:rsid w:val="007563CC"/>
    <w:rsid w:val="00762349"/>
    <w:rsid w:val="00762445"/>
    <w:rsid w:val="00764E98"/>
    <w:rsid w:val="00765FE3"/>
    <w:rsid w:val="00770287"/>
    <w:rsid w:val="00775591"/>
    <w:rsid w:val="007771C7"/>
    <w:rsid w:val="00784EA4"/>
    <w:rsid w:val="00785307"/>
    <w:rsid w:val="0078605A"/>
    <w:rsid w:val="007865BA"/>
    <w:rsid w:val="0079234F"/>
    <w:rsid w:val="00794D44"/>
    <w:rsid w:val="00795A52"/>
    <w:rsid w:val="00796663"/>
    <w:rsid w:val="007979A9"/>
    <w:rsid w:val="007A0775"/>
    <w:rsid w:val="007A1E8F"/>
    <w:rsid w:val="007A4405"/>
    <w:rsid w:val="007B1A2C"/>
    <w:rsid w:val="007B3672"/>
    <w:rsid w:val="007B4B58"/>
    <w:rsid w:val="007C656F"/>
    <w:rsid w:val="007D0B37"/>
    <w:rsid w:val="007D157D"/>
    <w:rsid w:val="007D2737"/>
    <w:rsid w:val="007D3629"/>
    <w:rsid w:val="007D4CEF"/>
    <w:rsid w:val="007D7B00"/>
    <w:rsid w:val="007E21E4"/>
    <w:rsid w:val="007F0786"/>
    <w:rsid w:val="007F102E"/>
    <w:rsid w:val="00802B49"/>
    <w:rsid w:val="00805C6D"/>
    <w:rsid w:val="0080693A"/>
    <w:rsid w:val="0081149C"/>
    <w:rsid w:val="008123C9"/>
    <w:rsid w:val="00814362"/>
    <w:rsid w:val="008162A3"/>
    <w:rsid w:val="00817087"/>
    <w:rsid w:val="008173F4"/>
    <w:rsid w:val="00820ECF"/>
    <w:rsid w:val="008225CE"/>
    <w:rsid w:val="00822A1C"/>
    <w:rsid w:val="00822E14"/>
    <w:rsid w:val="0082373B"/>
    <w:rsid w:val="0082422A"/>
    <w:rsid w:val="00825CA7"/>
    <w:rsid w:val="008277CB"/>
    <w:rsid w:val="008337D4"/>
    <w:rsid w:val="00834235"/>
    <w:rsid w:val="0083474F"/>
    <w:rsid w:val="00834ACC"/>
    <w:rsid w:val="00834B32"/>
    <w:rsid w:val="00836A97"/>
    <w:rsid w:val="0084570D"/>
    <w:rsid w:val="00847979"/>
    <w:rsid w:val="00847B48"/>
    <w:rsid w:val="00847F0C"/>
    <w:rsid w:val="008503FC"/>
    <w:rsid w:val="008518FD"/>
    <w:rsid w:val="008532B2"/>
    <w:rsid w:val="00853FA8"/>
    <w:rsid w:val="00855761"/>
    <w:rsid w:val="0085772A"/>
    <w:rsid w:val="00861216"/>
    <w:rsid w:val="00865223"/>
    <w:rsid w:val="00865C6D"/>
    <w:rsid w:val="00867171"/>
    <w:rsid w:val="00867D0A"/>
    <w:rsid w:val="008725B1"/>
    <w:rsid w:val="00876D82"/>
    <w:rsid w:val="0087749A"/>
    <w:rsid w:val="00883757"/>
    <w:rsid w:val="008851E3"/>
    <w:rsid w:val="00886DAA"/>
    <w:rsid w:val="00890032"/>
    <w:rsid w:val="008903AE"/>
    <w:rsid w:val="00890E99"/>
    <w:rsid w:val="008916C1"/>
    <w:rsid w:val="00893565"/>
    <w:rsid w:val="008A0856"/>
    <w:rsid w:val="008A1E0D"/>
    <w:rsid w:val="008A25F6"/>
    <w:rsid w:val="008A28DA"/>
    <w:rsid w:val="008A58E6"/>
    <w:rsid w:val="008A6386"/>
    <w:rsid w:val="008B1ADD"/>
    <w:rsid w:val="008B2002"/>
    <w:rsid w:val="008B32D4"/>
    <w:rsid w:val="008B43F6"/>
    <w:rsid w:val="008B4D9F"/>
    <w:rsid w:val="008B58DD"/>
    <w:rsid w:val="008B74F8"/>
    <w:rsid w:val="008C69FC"/>
    <w:rsid w:val="008C7109"/>
    <w:rsid w:val="008C7648"/>
    <w:rsid w:val="008C7A8D"/>
    <w:rsid w:val="008D037D"/>
    <w:rsid w:val="008D0390"/>
    <w:rsid w:val="008D4FDF"/>
    <w:rsid w:val="008D6265"/>
    <w:rsid w:val="008D7DB2"/>
    <w:rsid w:val="008E1E81"/>
    <w:rsid w:val="008E2A57"/>
    <w:rsid w:val="008E51F5"/>
    <w:rsid w:val="008E5886"/>
    <w:rsid w:val="008E6647"/>
    <w:rsid w:val="008F11DE"/>
    <w:rsid w:val="008F252C"/>
    <w:rsid w:val="008F3F25"/>
    <w:rsid w:val="008F46D9"/>
    <w:rsid w:val="008F760C"/>
    <w:rsid w:val="0090160B"/>
    <w:rsid w:val="00901849"/>
    <w:rsid w:val="009019CE"/>
    <w:rsid w:val="00902B02"/>
    <w:rsid w:val="00905046"/>
    <w:rsid w:val="0090558D"/>
    <w:rsid w:val="009073D0"/>
    <w:rsid w:val="009108C3"/>
    <w:rsid w:val="00910DED"/>
    <w:rsid w:val="009116B9"/>
    <w:rsid w:val="00913F55"/>
    <w:rsid w:val="009169C6"/>
    <w:rsid w:val="00917FE8"/>
    <w:rsid w:val="00920420"/>
    <w:rsid w:val="0092118D"/>
    <w:rsid w:val="00923525"/>
    <w:rsid w:val="0092399A"/>
    <w:rsid w:val="0092555A"/>
    <w:rsid w:val="00930381"/>
    <w:rsid w:val="009310F6"/>
    <w:rsid w:val="00931E2E"/>
    <w:rsid w:val="0093696D"/>
    <w:rsid w:val="00937078"/>
    <w:rsid w:val="00941B2D"/>
    <w:rsid w:val="00942D34"/>
    <w:rsid w:val="00943626"/>
    <w:rsid w:val="009445CB"/>
    <w:rsid w:val="00944653"/>
    <w:rsid w:val="00945056"/>
    <w:rsid w:val="00946E75"/>
    <w:rsid w:val="00947500"/>
    <w:rsid w:val="00950D4D"/>
    <w:rsid w:val="00954C21"/>
    <w:rsid w:val="00961AB4"/>
    <w:rsid w:val="00962658"/>
    <w:rsid w:val="0096295F"/>
    <w:rsid w:val="00962CC6"/>
    <w:rsid w:val="009666A9"/>
    <w:rsid w:val="00967A82"/>
    <w:rsid w:val="009702DE"/>
    <w:rsid w:val="0097207D"/>
    <w:rsid w:val="00974673"/>
    <w:rsid w:val="00974A6C"/>
    <w:rsid w:val="00977C45"/>
    <w:rsid w:val="0098356B"/>
    <w:rsid w:val="00983964"/>
    <w:rsid w:val="00985E53"/>
    <w:rsid w:val="0098646A"/>
    <w:rsid w:val="00986F81"/>
    <w:rsid w:val="00987847"/>
    <w:rsid w:val="00992877"/>
    <w:rsid w:val="009929E5"/>
    <w:rsid w:val="00993FEE"/>
    <w:rsid w:val="00997146"/>
    <w:rsid w:val="00997171"/>
    <w:rsid w:val="00997EC3"/>
    <w:rsid w:val="009A0965"/>
    <w:rsid w:val="009A26B6"/>
    <w:rsid w:val="009A4819"/>
    <w:rsid w:val="009A6DC1"/>
    <w:rsid w:val="009B012E"/>
    <w:rsid w:val="009B1FEE"/>
    <w:rsid w:val="009B62FE"/>
    <w:rsid w:val="009B6AA8"/>
    <w:rsid w:val="009B72E9"/>
    <w:rsid w:val="009B737F"/>
    <w:rsid w:val="009C4C80"/>
    <w:rsid w:val="009D07F9"/>
    <w:rsid w:val="009D0BB0"/>
    <w:rsid w:val="009D19DF"/>
    <w:rsid w:val="009D23A7"/>
    <w:rsid w:val="009D261E"/>
    <w:rsid w:val="009D460D"/>
    <w:rsid w:val="009D6564"/>
    <w:rsid w:val="009D6F95"/>
    <w:rsid w:val="009E03CE"/>
    <w:rsid w:val="009E1B39"/>
    <w:rsid w:val="009E4400"/>
    <w:rsid w:val="009E5773"/>
    <w:rsid w:val="009E5E03"/>
    <w:rsid w:val="009F0068"/>
    <w:rsid w:val="009F065B"/>
    <w:rsid w:val="009F0E4D"/>
    <w:rsid w:val="009F1149"/>
    <w:rsid w:val="009F1E8B"/>
    <w:rsid w:val="009F1ED6"/>
    <w:rsid w:val="009F3739"/>
    <w:rsid w:val="009F3ADA"/>
    <w:rsid w:val="009F3D5F"/>
    <w:rsid w:val="009F3F6F"/>
    <w:rsid w:val="009F5FAF"/>
    <w:rsid w:val="009F6A6E"/>
    <w:rsid w:val="009F72F8"/>
    <w:rsid w:val="009F7655"/>
    <w:rsid w:val="009F7773"/>
    <w:rsid w:val="00A02ABC"/>
    <w:rsid w:val="00A0361F"/>
    <w:rsid w:val="00A047B7"/>
    <w:rsid w:val="00A04FB6"/>
    <w:rsid w:val="00A05E7F"/>
    <w:rsid w:val="00A06B16"/>
    <w:rsid w:val="00A07869"/>
    <w:rsid w:val="00A143B1"/>
    <w:rsid w:val="00A151C4"/>
    <w:rsid w:val="00A17397"/>
    <w:rsid w:val="00A17833"/>
    <w:rsid w:val="00A17F97"/>
    <w:rsid w:val="00A2685D"/>
    <w:rsid w:val="00A2762C"/>
    <w:rsid w:val="00A32179"/>
    <w:rsid w:val="00A333CA"/>
    <w:rsid w:val="00A35B24"/>
    <w:rsid w:val="00A37D9E"/>
    <w:rsid w:val="00A40760"/>
    <w:rsid w:val="00A407AE"/>
    <w:rsid w:val="00A43B9D"/>
    <w:rsid w:val="00A43E0C"/>
    <w:rsid w:val="00A44519"/>
    <w:rsid w:val="00A46E4E"/>
    <w:rsid w:val="00A50700"/>
    <w:rsid w:val="00A5205E"/>
    <w:rsid w:val="00A52060"/>
    <w:rsid w:val="00A55394"/>
    <w:rsid w:val="00A563C1"/>
    <w:rsid w:val="00A60475"/>
    <w:rsid w:val="00A60B6C"/>
    <w:rsid w:val="00A61A9B"/>
    <w:rsid w:val="00A61E08"/>
    <w:rsid w:val="00A62443"/>
    <w:rsid w:val="00A636AD"/>
    <w:rsid w:val="00A70021"/>
    <w:rsid w:val="00A704F0"/>
    <w:rsid w:val="00A70A3E"/>
    <w:rsid w:val="00A716DC"/>
    <w:rsid w:val="00A730B2"/>
    <w:rsid w:val="00A7567E"/>
    <w:rsid w:val="00A76796"/>
    <w:rsid w:val="00A81CD2"/>
    <w:rsid w:val="00A82DCD"/>
    <w:rsid w:val="00A85BB7"/>
    <w:rsid w:val="00AA01A3"/>
    <w:rsid w:val="00AA3BCC"/>
    <w:rsid w:val="00AA46F3"/>
    <w:rsid w:val="00AA488A"/>
    <w:rsid w:val="00AA4BBB"/>
    <w:rsid w:val="00AA7BCF"/>
    <w:rsid w:val="00AB11B9"/>
    <w:rsid w:val="00AB22F6"/>
    <w:rsid w:val="00AB3424"/>
    <w:rsid w:val="00AB3B95"/>
    <w:rsid w:val="00AB3CB4"/>
    <w:rsid w:val="00AB3D0A"/>
    <w:rsid w:val="00AB4EFA"/>
    <w:rsid w:val="00AB667D"/>
    <w:rsid w:val="00AB7F14"/>
    <w:rsid w:val="00AC65EE"/>
    <w:rsid w:val="00AD0492"/>
    <w:rsid w:val="00AD17EE"/>
    <w:rsid w:val="00AD3F11"/>
    <w:rsid w:val="00AD44BC"/>
    <w:rsid w:val="00AD5F54"/>
    <w:rsid w:val="00AE2880"/>
    <w:rsid w:val="00AE2E7E"/>
    <w:rsid w:val="00AE3791"/>
    <w:rsid w:val="00AE3F42"/>
    <w:rsid w:val="00AE4996"/>
    <w:rsid w:val="00AE53EA"/>
    <w:rsid w:val="00AF2744"/>
    <w:rsid w:val="00AF296C"/>
    <w:rsid w:val="00AF3560"/>
    <w:rsid w:val="00AF6A77"/>
    <w:rsid w:val="00AF6C66"/>
    <w:rsid w:val="00B02113"/>
    <w:rsid w:val="00B02818"/>
    <w:rsid w:val="00B02BF7"/>
    <w:rsid w:val="00B02C54"/>
    <w:rsid w:val="00B0424B"/>
    <w:rsid w:val="00B05639"/>
    <w:rsid w:val="00B05F93"/>
    <w:rsid w:val="00B07E3A"/>
    <w:rsid w:val="00B12E16"/>
    <w:rsid w:val="00B13300"/>
    <w:rsid w:val="00B13AF8"/>
    <w:rsid w:val="00B14A82"/>
    <w:rsid w:val="00B163CC"/>
    <w:rsid w:val="00B164C2"/>
    <w:rsid w:val="00B22614"/>
    <w:rsid w:val="00B259DD"/>
    <w:rsid w:val="00B261E7"/>
    <w:rsid w:val="00B316DF"/>
    <w:rsid w:val="00B32613"/>
    <w:rsid w:val="00B3415C"/>
    <w:rsid w:val="00B363E6"/>
    <w:rsid w:val="00B40648"/>
    <w:rsid w:val="00B417FA"/>
    <w:rsid w:val="00B41913"/>
    <w:rsid w:val="00B422DD"/>
    <w:rsid w:val="00B42E1C"/>
    <w:rsid w:val="00B523C6"/>
    <w:rsid w:val="00B53F1E"/>
    <w:rsid w:val="00B5440F"/>
    <w:rsid w:val="00B60530"/>
    <w:rsid w:val="00B6561E"/>
    <w:rsid w:val="00B661A0"/>
    <w:rsid w:val="00B67B67"/>
    <w:rsid w:val="00B67F4F"/>
    <w:rsid w:val="00B70C15"/>
    <w:rsid w:val="00B71EA7"/>
    <w:rsid w:val="00B73245"/>
    <w:rsid w:val="00B74002"/>
    <w:rsid w:val="00B76AA1"/>
    <w:rsid w:val="00B77B86"/>
    <w:rsid w:val="00B80BA8"/>
    <w:rsid w:val="00B81BE8"/>
    <w:rsid w:val="00B835C0"/>
    <w:rsid w:val="00B863BD"/>
    <w:rsid w:val="00B864ED"/>
    <w:rsid w:val="00B90594"/>
    <w:rsid w:val="00B93546"/>
    <w:rsid w:val="00B967DC"/>
    <w:rsid w:val="00BA10ED"/>
    <w:rsid w:val="00BA1A9C"/>
    <w:rsid w:val="00BA2617"/>
    <w:rsid w:val="00BA75E8"/>
    <w:rsid w:val="00BB1710"/>
    <w:rsid w:val="00BB171B"/>
    <w:rsid w:val="00BB22EE"/>
    <w:rsid w:val="00BB58E3"/>
    <w:rsid w:val="00BC085D"/>
    <w:rsid w:val="00BC2A28"/>
    <w:rsid w:val="00BC3DCD"/>
    <w:rsid w:val="00BC3F3C"/>
    <w:rsid w:val="00BC6036"/>
    <w:rsid w:val="00BD0CFA"/>
    <w:rsid w:val="00BD1840"/>
    <w:rsid w:val="00BD1D24"/>
    <w:rsid w:val="00BE49CB"/>
    <w:rsid w:val="00BE4FF7"/>
    <w:rsid w:val="00BE7C8D"/>
    <w:rsid w:val="00BF371E"/>
    <w:rsid w:val="00BF376F"/>
    <w:rsid w:val="00BF3902"/>
    <w:rsid w:val="00C008A4"/>
    <w:rsid w:val="00C01A68"/>
    <w:rsid w:val="00C023B3"/>
    <w:rsid w:val="00C04E70"/>
    <w:rsid w:val="00C05FD3"/>
    <w:rsid w:val="00C0638C"/>
    <w:rsid w:val="00C07732"/>
    <w:rsid w:val="00C07736"/>
    <w:rsid w:val="00C102E5"/>
    <w:rsid w:val="00C122DE"/>
    <w:rsid w:val="00C16CC9"/>
    <w:rsid w:val="00C17759"/>
    <w:rsid w:val="00C20353"/>
    <w:rsid w:val="00C25EE9"/>
    <w:rsid w:val="00C30015"/>
    <w:rsid w:val="00C32DCD"/>
    <w:rsid w:val="00C343C9"/>
    <w:rsid w:val="00C34F52"/>
    <w:rsid w:val="00C351DD"/>
    <w:rsid w:val="00C36D80"/>
    <w:rsid w:val="00C40BA1"/>
    <w:rsid w:val="00C42CEB"/>
    <w:rsid w:val="00C43D43"/>
    <w:rsid w:val="00C46DBF"/>
    <w:rsid w:val="00C525DE"/>
    <w:rsid w:val="00C53AFD"/>
    <w:rsid w:val="00C55433"/>
    <w:rsid w:val="00C558E0"/>
    <w:rsid w:val="00C6512A"/>
    <w:rsid w:val="00C6604E"/>
    <w:rsid w:val="00C665DA"/>
    <w:rsid w:val="00C712B4"/>
    <w:rsid w:val="00C746FA"/>
    <w:rsid w:val="00C77505"/>
    <w:rsid w:val="00C77908"/>
    <w:rsid w:val="00C83BC1"/>
    <w:rsid w:val="00C83D2F"/>
    <w:rsid w:val="00C84697"/>
    <w:rsid w:val="00C93F01"/>
    <w:rsid w:val="00C9490D"/>
    <w:rsid w:val="00C96757"/>
    <w:rsid w:val="00C96801"/>
    <w:rsid w:val="00CA1A3D"/>
    <w:rsid w:val="00CA221E"/>
    <w:rsid w:val="00CA27D8"/>
    <w:rsid w:val="00CA31BC"/>
    <w:rsid w:val="00CA404D"/>
    <w:rsid w:val="00CA5ABF"/>
    <w:rsid w:val="00CA78E6"/>
    <w:rsid w:val="00CB0D82"/>
    <w:rsid w:val="00CB0E67"/>
    <w:rsid w:val="00CB2DB5"/>
    <w:rsid w:val="00CB2E98"/>
    <w:rsid w:val="00CB3818"/>
    <w:rsid w:val="00CB4FA7"/>
    <w:rsid w:val="00CB6646"/>
    <w:rsid w:val="00CB698D"/>
    <w:rsid w:val="00CC1AB2"/>
    <w:rsid w:val="00CC4288"/>
    <w:rsid w:val="00CC4B08"/>
    <w:rsid w:val="00CC6F57"/>
    <w:rsid w:val="00CD0947"/>
    <w:rsid w:val="00CD0988"/>
    <w:rsid w:val="00CD320A"/>
    <w:rsid w:val="00CD3D61"/>
    <w:rsid w:val="00CD7C0E"/>
    <w:rsid w:val="00CE004D"/>
    <w:rsid w:val="00CE2B10"/>
    <w:rsid w:val="00CE4F07"/>
    <w:rsid w:val="00CF3CA6"/>
    <w:rsid w:val="00CF6757"/>
    <w:rsid w:val="00D0041F"/>
    <w:rsid w:val="00D0197E"/>
    <w:rsid w:val="00D02504"/>
    <w:rsid w:val="00D02EA8"/>
    <w:rsid w:val="00D04247"/>
    <w:rsid w:val="00D04C75"/>
    <w:rsid w:val="00D141AE"/>
    <w:rsid w:val="00D14EF3"/>
    <w:rsid w:val="00D151E6"/>
    <w:rsid w:val="00D16A41"/>
    <w:rsid w:val="00D20951"/>
    <w:rsid w:val="00D21B6D"/>
    <w:rsid w:val="00D22EB6"/>
    <w:rsid w:val="00D236E2"/>
    <w:rsid w:val="00D246E1"/>
    <w:rsid w:val="00D24D77"/>
    <w:rsid w:val="00D3023E"/>
    <w:rsid w:val="00D310AC"/>
    <w:rsid w:val="00D32433"/>
    <w:rsid w:val="00D332CF"/>
    <w:rsid w:val="00D33D9D"/>
    <w:rsid w:val="00D34842"/>
    <w:rsid w:val="00D34BB4"/>
    <w:rsid w:val="00D37FA3"/>
    <w:rsid w:val="00D4022C"/>
    <w:rsid w:val="00D40BB3"/>
    <w:rsid w:val="00D410D2"/>
    <w:rsid w:val="00D41840"/>
    <w:rsid w:val="00D44B40"/>
    <w:rsid w:val="00D44DF1"/>
    <w:rsid w:val="00D45F90"/>
    <w:rsid w:val="00D474E1"/>
    <w:rsid w:val="00D5135E"/>
    <w:rsid w:val="00D52004"/>
    <w:rsid w:val="00D5425D"/>
    <w:rsid w:val="00D54503"/>
    <w:rsid w:val="00D54D80"/>
    <w:rsid w:val="00D60ECE"/>
    <w:rsid w:val="00D62BA6"/>
    <w:rsid w:val="00D632E1"/>
    <w:rsid w:val="00D63990"/>
    <w:rsid w:val="00D63DB9"/>
    <w:rsid w:val="00D63EC5"/>
    <w:rsid w:val="00D6419A"/>
    <w:rsid w:val="00D64956"/>
    <w:rsid w:val="00D65CAD"/>
    <w:rsid w:val="00D745BD"/>
    <w:rsid w:val="00D77C2B"/>
    <w:rsid w:val="00D77CB9"/>
    <w:rsid w:val="00D838B7"/>
    <w:rsid w:val="00D84361"/>
    <w:rsid w:val="00D91238"/>
    <w:rsid w:val="00D92238"/>
    <w:rsid w:val="00D9485F"/>
    <w:rsid w:val="00D95BDB"/>
    <w:rsid w:val="00D95E44"/>
    <w:rsid w:val="00D96D23"/>
    <w:rsid w:val="00DA0616"/>
    <w:rsid w:val="00DA3FB2"/>
    <w:rsid w:val="00DA58AF"/>
    <w:rsid w:val="00DA777A"/>
    <w:rsid w:val="00DB4062"/>
    <w:rsid w:val="00DC0C7E"/>
    <w:rsid w:val="00DC5750"/>
    <w:rsid w:val="00DC6CDF"/>
    <w:rsid w:val="00DD0828"/>
    <w:rsid w:val="00DD2322"/>
    <w:rsid w:val="00DD24EF"/>
    <w:rsid w:val="00DD2E7E"/>
    <w:rsid w:val="00DD37A9"/>
    <w:rsid w:val="00DD424B"/>
    <w:rsid w:val="00DD4709"/>
    <w:rsid w:val="00DD5BF7"/>
    <w:rsid w:val="00DD6406"/>
    <w:rsid w:val="00DD6F7E"/>
    <w:rsid w:val="00DE1D7C"/>
    <w:rsid w:val="00DE3E84"/>
    <w:rsid w:val="00DE5CE3"/>
    <w:rsid w:val="00DE683F"/>
    <w:rsid w:val="00DF29CD"/>
    <w:rsid w:val="00DF30E7"/>
    <w:rsid w:val="00DF42C8"/>
    <w:rsid w:val="00DF7B8D"/>
    <w:rsid w:val="00E031C9"/>
    <w:rsid w:val="00E07A52"/>
    <w:rsid w:val="00E101C0"/>
    <w:rsid w:val="00E1066C"/>
    <w:rsid w:val="00E10E88"/>
    <w:rsid w:val="00E13AAC"/>
    <w:rsid w:val="00E13F0E"/>
    <w:rsid w:val="00E15ED3"/>
    <w:rsid w:val="00E242AB"/>
    <w:rsid w:val="00E24F4F"/>
    <w:rsid w:val="00E27061"/>
    <w:rsid w:val="00E27B81"/>
    <w:rsid w:val="00E300BA"/>
    <w:rsid w:val="00E30D60"/>
    <w:rsid w:val="00E32C40"/>
    <w:rsid w:val="00E33089"/>
    <w:rsid w:val="00E3533B"/>
    <w:rsid w:val="00E3536B"/>
    <w:rsid w:val="00E3564D"/>
    <w:rsid w:val="00E37CEE"/>
    <w:rsid w:val="00E40210"/>
    <w:rsid w:val="00E450BF"/>
    <w:rsid w:val="00E54273"/>
    <w:rsid w:val="00E542D6"/>
    <w:rsid w:val="00E5448C"/>
    <w:rsid w:val="00E54C04"/>
    <w:rsid w:val="00E54D11"/>
    <w:rsid w:val="00E55D9A"/>
    <w:rsid w:val="00E57DDD"/>
    <w:rsid w:val="00E609D7"/>
    <w:rsid w:val="00E612EF"/>
    <w:rsid w:val="00E64204"/>
    <w:rsid w:val="00E65574"/>
    <w:rsid w:val="00E65599"/>
    <w:rsid w:val="00E657D1"/>
    <w:rsid w:val="00E65DE9"/>
    <w:rsid w:val="00E73AFB"/>
    <w:rsid w:val="00E801E5"/>
    <w:rsid w:val="00E82738"/>
    <w:rsid w:val="00E925A7"/>
    <w:rsid w:val="00E9399E"/>
    <w:rsid w:val="00EA01E3"/>
    <w:rsid w:val="00EA114D"/>
    <w:rsid w:val="00EA3208"/>
    <w:rsid w:val="00EA33CE"/>
    <w:rsid w:val="00EA474C"/>
    <w:rsid w:val="00EA60BA"/>
    <w:rsid w:val="00EA6E7B"/>
    <w:rsid w:val="00EA7425"/>
    <w:rsid w:val="00EB0824"/>
    <w:rsid w:val="00EB37B5"/>
    <w:rsid w:val="00EB37DF"/>
    <w:rsid w:val="00EB764D"/>
    <w:rsid w:val="00EB7751"/>
    <w:rsid w:val="00EC2124"/>
    <w:rsid w:val="00EC2A12"/>
    <w:rsid w:val="00EC4006"/>
    <w:rsid w:val="00EC7AE5"/>
    <w:rsid w:val="00ED00F3"/>
    <w:rsid w:val="00ED2BA4"/>
    <w:rsid w:val="00ED33EA"/>
    <w:rsid w:val="00ED439E"/>
    <w:rsid w:val="00ED44CE"/>
    <w:rsid w:val="00ED4928"/>
    <w:rsid w:val="00ED6E60"/>
    <w:rsid w:val="00EE07AE"/>
    <w:rsid w:val="00EE0945"/>
    <w:rsid w:val="00EE193E"/>
    <w:rsid w:val="00EE7FDE"/>
    <w:rsid w:val="00EF1E68"/>
    <w:rsid w:val="00EF22F2"/>
    <w:rsid w:val="00EF3DB2"/>
    <w:rsid w:val="00EF4F15"/>
    <w:rsid w:val="00EF64F5"/>
    <w:rsid w:val="00F01DED"/>
    <w:rsid w:val="00F0330C"/>
    <w:rsid w:val="00F037BA"/>
    <w:rsid w:val="00F0560E"/>
    <w:rsid w:val="00F06306"/>
    <w:rsid w:val="00F117B4"/>
    <w:rsid w:val="00F11ABD"/>
    <w:rsid w:val="00F11F3E"/>
    <w:rsid w:val="00F12F2D"/>
    <w:rsid w:val="00F149C6"/>
    <w:rsid w:val="00F14AA1"/>
    <w:rsid w:val="00F16619"/>
    <w:rsid w:val="00F17983"/>
    <w:rsid w:val="00F17E3A"/>
    <w:rsid w:val="00F20272"/>
    <w:rsid w:val="00F21E54"/>
    <w:rsid w:val="00F23C40"/>
    <w:rsid w:val="00F26494"/>
    <w:rsid w:val="00F2711A"/>
    <w:rsid w:val="00F30E38"/>
    <w:rsid w:val="00F31AE5"/>
    <w:rsid w:val="00F322DB"/>
    <w:rsid w:val="00F33E83"/>
    <w:rsid w:val="00F3682E"/>
    <w:rsid w:val="00F3799E"/>
    <w:rsid w:val="00F4014E"/>
    <w:rsid w:val="00F409B1"/>
    <w:rsid w:val="00F45247"/>
    <w:rsid w:val="00F45939"/>
    <w:rsid w:val="00F45D1F"/>
    <w:rsid w:val="00F47DDC"/>
    <w:rsid w:val="00F51668"/>
    <w:rsid w:val="00F523EA"/>
    <w:rsid w:val="00F52EBE"/>
    <w:rsid w:val="00F5356A"/>
    <w:rsid w:val="00F5377A"/>
    <w:rsid w:val="00F559E1"/>
    <w:rsid w:val="00F6115B"/>
    <w:rsid w:val="00F66C69"/>
    <w:rsid w:val="00F706BB"/>
    <w:rsid w:val="00F70E2F"/>
    <w:rsid w:val="00F72D73"/>
    <w:rsid w:val="00F73864"/>
    <w:rsid w:val="00F74A80"/>
    <w:rsid w:val="00F76DDB"/>
    <w:rsid w:val="00F77269"/>
    <w:rsid w:val="00F776C4"/>
    <w:rsid w:val="00F77823"/>
    <w:rsid w:val="00F7794B"/>
    <w:rsid w:val="00F8028D"/>
    <w:rsid w:val="00F81F58"/>
    <w:rsid w:val="00F8395F"/>
    <w:rsid w:val="00F83AEF"/>
    <w:rsid w:val="00F912C6"/>
    <w:rsid w:val="00F92608"/>
    <w:rsid w:val="00FA1A84"/>
    <w:rsid w:val="00FA20D3"/>
    <w:rsid w:val="00FA2B33"/>
    <w:rsid w:val="00FA2F13"/>
    <w:rsid w:val="00FA6DF4"/>
    <w:rsid w:val="00FA760E"/>
    <w:rsid w:val="00FA76FC"/>
    <w:rsid w:val="00FB2232"/>
    <w:rsid w:val="00FB2561"/>
    <w:rsid w:val="00FB3422"/>
    <w:rsid w:val="00FB37E0"/>
    <w:rsid w:val="00FB4993"/>
    <w:rsid w:val="00FB5A4C"/>
    <w:rsid w:val="00FB5AE7"/>
    <w:rsid w:val="00FB6CCF"/>
    <w:rsid w:val="00FB785D"/>
    <w:rsid w:val="00FC2F93"/>
    <w:rsid w:val="00FC301C"/>
    <w:rsid w:val="00FC56D6"/>
    <w:rsid w:val="00FC6799"/>
    <w:rsid w:val="00FC6C37"/>
    <w:rsid w:val="00FC73C8"/>
    <w:rsid w:val="00FD0AAD"/>
    <w:rsid w:val="00FD4247"/>
    <w:rsid w:val="00FE03C0"/>
    <w:rsid w:val="00FE0C7F"/>
    <w:rsid w:val="00FE10C6"/>
    <w:rsid w:val="00FE10F4"/>
    <w:rsid w:val="00FE4ECC"/>
    <w:rsid w:val="00FE55FF"/>
    <w:rsid w:val="00FE6A26"/>
    <w:rsid w:val="00FF083D"/>
    <w:rsid w:val="00FF2BE3"/>
    <w:rsid w:val="00FF2D9B"/>
    <w:rsid w:val="00FF5106"/>
    <w:rsid w:val="00FF55A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66540"/>
  <w15:chartTrackingRefBased/>
  <w15:docId w15:val="{7EB2DE91-861A-4F14-8F06-8AD34689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5809"/>
    <w:pPr>
      <w:spacing w:line="60" w:lineRule="auto"/>
      <w:ind w:leftChars="200" w:left="480"/>
    </w:pPr>
    <w:rPr>
      <w:rFonts w:ascii="Calibri" w:eastAsia="新細明體" w:hAnsi="Calibri" w:cs="Times New Roman"/>
    </w:rPr>
  </w:style>
  <w:style w:type="character" w:styleId="a5">
    <w:name w:val="Hyperlink"/>
    <w:uiPriority w:val="99"/>
    <w:unhideWhenUsed/>
    <w:rsid w:val="00325809"/>
    <w:rPr>
      <w:color w:val="0000FF"/>
      <w:u w:val="single"/>
    </w:rPr>
  </w:style>
  <w:style w:type="table" w:styleId="4-1">
    <w:name w:val="Grid Table 4 Accent 1"/>
    <w:basedOn w:val="a1"/>
    <w:uiPriority w:val="49"/>
    <w:rsid w:val="0032580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1">
    <w:name w:val="Grid Table 1 Light Accent 1"/>
    <w:basedOn w:val="a1"/>
    <w:uiPriority w:val="46"/>
    <w:rsid w:val="0032580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6">
    <w:name w:val="header"/>
    <w:basedOn w:val="a"/>
    <w:link w:val="a7"/>
    <w:uiPriority w:val="99"/>
    <w:unhideWhenUsed/>
    <w:rsid w:val="00A32179"/>
    <w:pPr>
      <w:tabs>
        <w:tab w:val="center" w:pos="4153"/>
        <w:tab w:val="right" w:pos="8306"/>
      </w:tabs>
      <w:snapToGrid w:val="0"/>
    </w:pPr>
    <w:rPr>
      <w:sz w:val="20"/>
      <w:szCs w:val="20"/>
    </w:rPr>
  </w:style>
  <w:style w:type="character" w:customStyle="1" w:styleId="a7">
    <w:name w:val="頁首 字元"/>
    <w:basedOn w:val="a0"/>
    <w:link w:val="a6"/>
    <w:uiPriority w:val="99"/>
    <w:rsid w:val="00A32179"/>
    <w:rPr>
      <w:sz w:val="20"/>
      <w:szCs w:val="20"/>
    </w:rPr>
  </w:style>
  <w:style w:type="paragraph" w:styleId="a8">
    <w:name w:val="footer"/>
    <w:basedOn w:val="a"/>
    <w:link w:val="a9"/>
    <w:uiPriority w:val="99"/>
    <w:unhideWhenUsed/>
    <w:rsid w:val="00A32179"/>
    <w:pPr>
      <w:tabs>
        <w:tab w:val="center" w:pos="4153"/>
        <w:tab w:val="right" w:pos="8306"/>
      </w:tabs>
      <w:snapToGrid w:val="0"/>
    </w:pPr>
    <w:rPr>
      <w:sz w:val="20"/>
      <w:szCs w:val="20"/>
    </w:rPr>
  </w:style>
  <w:style w:type="character" w:customStyle="1" w:styleId="a9">
    <w:name w:val="頁尾 字元"/>
    <w:basedOn w:val="a0"/>
    <w:link w:val="a8"/>
    <w:uiPriority w:val="99"/>
    <w:rsid w:val="00A32179"/>
    <w:rPr>
      <w:sz w:val="20"/>
      <w:szCs w:val="20"/>
    </w:rPr>
  </w:style>
  <w:style w:type="character" w:customStyle="1" w:styleId="a4">
    <w:name w:val="清單段落 字元"/>
    <w:basedOn w:val="a0"/>
    <w:link w:val="a3"/>
    <w:uiPriority w:val="34"/>
    <w:rsid w:val="00983964"/>
    <w:rPr>
      <w:rFonts w:ascii="Calibri" w:eastAsia="新細明體" w:hAnsi="Calibri" w:cs="Times New Roman"/>
    </w:rPr>
  </w:style>
  <w:style w:type="paragraph" w:styleId="aa">
    <w:name w:val="Plain Text"/>
    <w:basedOn w:val="a"/>
    <w:link w:val="ab"/>
    <w:uiPriority w:val="99"/>
    <w:semiHidden/>
    <w:unhideWhenUsed/>
    <w:rsid w:val="000F7D42"/>
    <w:rPr>
      <w:rFonts w:ascii="Calibri" w:eastAsia="新細明體" w:hAnsi="Courier New" w:cs="Courier New"/>
      <w:szCs w:val="24"/>
    </w:rPr>
  </w:style>
  <w:style w:type="character" w:customStyle="1" w:styleId="ab">
    <w:name w:val="純文字 字元"/>
    <w:basedOn w:val="a0"/>
    <w:link w:val="aa"/>
    <w:uiPriority w:val="99"/>
    <w:semiHidden/>
    <w:rsid w:val="000F7D42"/>
    <w:rPr>
      <w:rFonts w:ascii="Calibri" w:eastAsia="新細明體" w:hAnsi="Courier New" w:cs="Courier New"/>
      <w:szCs w:val="24"/>
    </w:rPr>
  </w:style>
  <w:style w:type="table" w:styleId="ac">
    <w:name w:val="Table Grid"/>
    <w:basedOn w:val="a1"/>
    <w:uiPriority w:val="39"/>
    <w:rsid w:val="000F79D3"/>
    <w:rPr>
      <w:rFonts w:eastAsia="Times New Roman"/>
      <w:color w:val="000000" w:themeColor="text1"/>
      <w:kern w:val="0"/>
      <w:szCs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B785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B785D"/>
    <w:rPr>
      <w:rFonts w:asciiTheme="majorHAnsi" w:eastAsiaTheme="majorEastAsia" w:hAnsiTheme="majorHAnsi" w:cstheme="majorBidi"/>
      <w:sz w:val="18"/>
      <w:szCs w:val="18"/>
    </w:rPr>
  </w:style>
  <w:style w:type="paragraph" w:styleId="Web">
    <w:name w:val="Normal (Web)"/>
    <w:basedOn w:val="a"/>
    <w:uiPriority w:val="99"/>
    <w:unhideWhenUsed/>
    <w:rsid w:val="00B163C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175">
      <w:bodyDiv w:val="1"/>
      <w:marLeft w:val="0"/>
      <w:marRight w:val="0"/>
      <w:marTop w:val="0"/>
      <w:marBottom w:val="0"/>
      <w:divBdr>
        <w:top w:val="none" w:sz="0" w:space="0" w:color="auto"/>
        <w:left w:val="none" w:sz="0" w:space="0" w:color="auto"/>
        <w:bottom w:val="none" w:sz="0" w:space="0" w:color="auto"/>
        <w:right w:val="none" w:sz="0" w:space="0" w:color="auto"/>
      </w:divBdr>
    </w:div>
    <w:div w:id="22294883">
      <w:bodyDiv w:val="1"/>
      <w:marLeft w:val="0"/>
      <w:marRight w:val="0"/>
      <w:marTop w:val="0"/>
      <w:marBottom w:val="0"/>
      <w:divBdr>
        <w:top w:val="none" w:sz="0" w:space="0" w:color="auto"/>
        <w:left w:val="none" w:sz="0" w:space="0" w:color="auto"/>
        <w:bottom w:val="none" w:sz="0" w:space="0" w:color="auto"/>
        <w:right w:val="none" w:sz="0" w:space="0" w:color="auto"/>
      </w:divBdr>
    </w:div>
    <w:div w:id="604773299">
      <w:bodyDiv w:val="1"/>
      <w:marLeft w:val="0"/>
      <w:marRight w:val="0"/>
      <w:marTop w:val="0"/>
      <w:marBottom w:val="0"/>
      <w:divBdr>
        <w:top w:val="none" w:sz="0" w:space="0" w:color="auto"/>
        <w:left w:val="none" w:sz="0" w:space="0" w:color="auto"/>
        <w:bottom w:val="none" w:sz="0" w:space="0" w:color="auto"/>
        <w:right w:val="none" w:sz="0" w:space="0" w:color="auto"/>
      </w:divBdr>
    </w:div>
    <w:div w:id="783622733">
      <w:bodyDiv w:val="1"/>
      <w:marLeft w:val="0"/>
      <w:marRight w:val="0"/>
      <w:marTop w:val="0"/>
      <w:marBottom w:val="0"/>
      <w:divBdr>
        <w:top w:val="none" w:sz="0" w:space="0" w:color="auto"/>
        <w:left w:val="none" w:sz="0" w:space="0" w:color="auto"/>
        <w:bottom w:val="none" w:sz="0" w:space="0" w:color="auto"/>
        <w:right w:val="none" w:sz="0" w:space="0" w:color="auto"/>
      </w:divBdr>
    </w:div>
    <w:div w:id="789783550">
      <w:bodyDiv w:val="1"/>
      <w:marLeft w:val="0"/>
      <w:marRight w:val="0"/>
      <w:marTop w:val="0"/>
      <w:marBottom w:val="0"/>
      <w:divBdr>
        <w:top w:val="none" w:sz="0" w:space="0" w:color="auto"/>
        <w:left w:val="none" w:sz="0" w:space="0" w:color="auto"/>
        <w:bottom w:val="none" w:sz="0" w:space="0" w:color="auto"/>
        <w:right w:val="none" w:sz="0" w:space="0" w:color="auto"/>
      </w:divBdr>
    </w:div>
    <w:div w:id="804542903">
      <w:bodyDiv w:val="1"/>
      <w:marLeft w:val="0"/>
      <w:marRight w:val="0"/>
      <w:marTop w:val="0"/>
      <w:marBottom w:val="0"/>
      <w:divBdr>
        <w:top w:val="none" w:sz="0" w:space="0" w:color="auto"/>
        <w:left w:val="none" w:sz="0" w:space="0" w:color="auto"/>
        <w:bottom w:val="none" w:sz="0" w:space="0" w:color="auto"/>
        <w:right w:val="none" w:sz="0" w:space="0" w:color="auto"/>
      </w:divBdr>
    </w:div>
    <w:div w:id="854003484">
      <w:bodyDiv w:val="1"/>
      <w:marLeft w:val="0"/>
      <w:marRight w:val="0"/>
      <w:marTop w:val="0"/>
      <w:marBottom w:val="0"/>
      <w:divBdr>
        <w:top w:val="none" w:sz="0" w:space="0" w:color="auto"/>
        <w:left w:val="none" w:sz="0" w:space="0" w:color="auto"/>
        <w:bottom w:val="none" w:sz="0" w:space="0" w:color="auto"/>
        <w:right w:val="none" w:sz="0" w:space="0" w:color="auto"/>
      </w:divBdr>
    </w:div>
    <w:div w:id="868643433">
      <w:bodyDiv w:val="1"/>
      <w:marLeft w:val="0"/>
      <w:marRight w:val="0"/>
      <w:marTop w:val="0"/>
      <w:marBottom w:val="0"/>
      <w:divBdr>
        <w:top w:val="none" w:sz="0" w:space="0" w:color="auto"/>
        <w:left w:val="none" w:sz="0" w:space="0" w:color="auto"/>
        <w:bottom w:val="none" w:sz="0" w:space="0" w:color="auto"/>
        <w:right w:val="none" w:sz="0" w:space="0" w:color="auto"/>
      </w:divBdr>
    </w:div>
    <w:div w:id="1079988392">
      <w:bodyDiv w:val="1"/>
      <w:marLeft w:val="0"/>
      <w:marRight w:val="0"/>
      <w:marTop w:val="0"/>
      <w:marBottom w:val="0"/>
      <w:divBdr>
        <w:top w:val="none" w:sz="0" w:space="0" w:color="auto"/>
        <w:left w:val="none" w:sz="0" w:space="0" w:color="auto"/>
        <w:bottom w:val="none" w:sz="0" w:space="0" w:color="auto"/>
        <w:right w:val="none" w:sz="0" w:space="0" w:color="auto"/>
      </w:divBdr>
    </w:div>
    <w:div w:id="1167402933">
      <w:bodyDiv w:val="1"/>
      <w:marLeft w:val="0"/>
      <w:marRight w:val="0"/>
      <w:marTop w:val="0"/>
      <w:marBottom w:val="0"/>
      <w:divBdr>
        <w:top w:val="none" w:sz="0" w:space="0" w:color="auto"/>
        <w:left w:val="none" w:sz="0" w:space="0" w:color="auto"/>
        <w:bottom w:val="none" w:sz="0" w:space="0" w:color="auto"/>
        <w:right w:val="none" w:sz="0" w:space="0" w:color="auto"/>
      </w:divBdr>
    </w:div>
    <w:div w:id="1305162318">
      <w:bodyDiv w:val="1"/>
      <w:marLeft w:val="0"/>
      <w:marRight w:val="0"/>
      <w:marTop w:val="0"/>
      <w:marBottom w:val="0"/>
      <w:divBdr>
        <w:top w:val="none" w:sz="0" w:space="0" w:color="auto"/>
        <w:left w:val="none" w:sz="0" w:space="0" w:color="auto"/>
        <w:bottom w:val="none" w:sz="0" w:space="0" w:color="auto"/>
        <w:right w:val="none" w:sz="0" w:space="0" w:color="auto"/>
      </w:divBdr>
    </w:div>
    <w:div w:id="1320033938">
      <w:bodyDiv w:val="1"/>
      <w:marLeft w:val="0"/>
      <w:marRight w:val="0"/>
      <w:marTop w:val="0"/>
      <w:marBottom w:val="0"/>
      <w:divBdr>
        <w:top w:val="none" w:sz="0" w:space="0" w:color="auto"/>
        <w:left w:val="none" w:sz="0" w:space="0" w:color="auto"/>
        <w:bottom w:val="none" w:sz="0" w:space="0" w:color="auto"/>
        <w:right w:val="none" w:sz="0" w:space="0" w:color="auto"/>
      </w:divBdr>
    </w:div>
    <w:div w:id="1505510327">
      <w:bodyDiv w:val="1"/>
      <w:marLeft w:val="0"/>
      <w:marRight w:val="0"/>
      <w:marTop w:val="0"/>
      <w:marBottom w:val="0"/>
      <w:divBdr>
        <w:top w:val="none" w:sz="0" w:space="0" w:color="auto"/>
        <w:left w:val="none" w:sz="0" w:space="0" w:color="auto"/>
        <w:bottom w:val="none" w:sz="0" w:space="0" w:color="auto"/>
        <w:right w:val="none" w:sz="0" w:space="0" w:color="auto"/>
      </w:divBdr>
    </w:div>
    <w:div w:id="1542597169">
      <w:bodyDiv w:val="1"/>
      <w:marLeft w:val="0"/>
      <w:marRight w:val="0"/>
      <w:marTop w:val="0"/>
      <w:marBottom w:val="0"/>
      <w:divBdr>
        <w:top w:val="none" w:sz="0" w:space="0" w:color="auto"/>
        <w:left w:val="none" w:sz="0" w:space="0" w:color="auto"/>
        <w:bottom w:val="none" w:sz="0" w:space="0" w:color="auto"/>
        <w:right w:val="none" w:sz="0" w:space="0" w:color="auto"/>
      </w:divBdr>
    </w:div>
    <w:div w:id="1582981742">
      <w:bodyDiv w:val="1"/>
      <w:marLeft w:val="0"/>
      <w:marRight w:val="0"/>
      <w:marTop w:val="0"/>
      <w:marBottom w:val="0"/>
      <w:divBdr>
        <w:top w:val="none" w:sz="0" w:space="0" w:color="auto"/>
        <w:left w:val="none" w:sz="0" w:space="0" w:color="auto"/>
        <w:bottom w:val="none" w:sz="0" w:space="0" w:color="auto"/>
        <w:right w:val="none" w:sz="0" w:space="0" w:color="auto"/>
      </w:divBdr>
    </w:div>
    <w:div w:id="1620212996">
      <w:bodyDiv w:val="1"/>
      <w:marLeft w:val="0"/>
      <w:marRight w:val="0"/>
      <w:marTop w:val="0"/>
      <w:marBottom w:val="0"/>
      <w:divBdr>
        <w:top w:val="none" w:sz="0" w:space="0" w:color="auto"/>
        <w:left w:val="none" w:sz="0" w:space="0" w:color="auto"/>
        <w:bottom w:val="none" w:sz="0" w:space="0" w:color="auto"/>
        <w:right w:val="none" w:sz="0" w:space="0" w:color="auto"/>
      </w:divBdr>
    </w:div>
    <w:div w:id="1638996052">
      <w:bodyDiv w:val="1"/>
      <w:marLeft w:val="0"/>
      <w:marRight w:val="0"/>
      <w:marTop w:val="0"/>
      <w:marBottom w:val="0"/>
      <w:divBdr>
        <w:top w:val="none" w:sz="0" w:space="0" w:color="auto"/>
        <w:left w:val="none" w:sz="0" w:space="0" w:color="auto"/>
        <w:bottom w:val="none" w:sz="0" w:space="0" w:color="auto"/>
        <w:right w:val="none" w:sz="0" w:space="0" w:color="auto"/>
      </w:divBdr>
    </w:div>
    <w:div w:id="1759055376">
      <w:bodyDiv w:val="1"/>
      <w:marLeft w:val="0"/>
      <w:marRight w:val="0"/>
      <w:marTop w:val="0"/>
      <w:marBottom w:val="0"/>
      <w:divBdr>
        <w:top w:val="none" w:sz="0" w:space="0" w:color="auto"/>
        <w:left w:val="none" w:sz="0" w:space="0" w:color="auto"/>
        <w:bottom w:val="none" w:sz="0" w:space="0" w:color="auto"/>
        <w:right w:val="none" w:sz="0" w:space="0" w:color="auto"/>
      </w:divBdr>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andywang@cdr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TotalTime>
  <Pages>9</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謝玟嫻 商發院</dc:creator>
  <cp:keywords/>
  <dc:description/>
  <cp:lastModifiedBy>王心怡 商研院</cp:lastModifiedBy>
  <cp:revision>792</cp:revision>
  <cp:lastPrinted>2018-04-02T08:28:00Z</cp:lastPrinted>
  <dcterms:created xsi:type="dcterms:W3CDTF">2018-07-25T01:09:00Z</dcterms:created>
  <dcterms:modified xsi:type="dcterms:W3CDTF">2018-08-03T02:22:00Z</dcterms:modified>
</cp:coreProperties>
</file>